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49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279"/>
        <w:gridCol w:w="2117"/>
        <w:gridCol w:w="2856"/>
        <w:gridCol w:w="2273"/>
        <w:gridCol w:w="1852"/>
        <w:gridCol w:w="1279"/>
        <w:gridCol w:w="1420"/>
      </w:tblGrid>
      <w:tr w:rsidR="00DB1E8A">
        <w:trPr>
          <w:trHeight w:val="400"/>
        </w:trPr>
        <w:tc>
          <w:tcPr>
            <w:tcW w:w="1842" w:type="dxa"/>
            <w:vMerge w:val="restart"/>
          </w:tcPr>
          <w:p w:rsidR="00DB1E8A" w:rsidRDefault="003F40AF">
            <w:pPr>
              <w:jc w:val="center"/>
              <w:rPr>
                <w:b/>
              </w:rPr>
            </w:pPr>
            <w:r>
              <w:rPr>
                <w:b/>
              </w:rPr>
              <w:br/>
            </w:r>
          </w:p>
          <w:p w:rsidR="00DB1E8A" w:rsidRDefault="003F40AF">
            <w:pPr>
              <w:rPr>
                <w:color w:val="000000"/>
                <w:sz w:val="20"/>
                <w:szCs w:val="20"/>
              </w:rPr>
            </w:pPr>
            <w:r>
              <w:rPr>
                <w:color w:val="000000"/>
                <w:sz w:val="20"/>
                <w:szCs w:val="20"/>
              </w:rPr>
              <w:t>Our ethos for our students is simple – “</w:t>
            </w:r>
            <w:r>
              <w:rPr>
                <w:b/>
                <w:color w:val="000000"/>
                <w:sz w:val="20"/>
                <w:szCs w:val="20"/>
              </w:rPr>
              <w:t>Looking forwards, Looking outwards and Taking action</w:t>
            </w:r>
            <w:r>
              <w:rPr>
                <w:color w:val="000000"/>
                <w:sz w:val="20"/>
                <w:szCs w:val="20"/>
              </w:rPr>
              <w:t>”.  </w:t>
            </w:r>
          </w:p>
          <w:p w:rsidR="00DB1E8A" w:rsidRDefault="00DB1E8A">
            <w:pPr>
              <w:rPr>
                <w:color w:val="000000"/>
                <w:sz w:val="20"/>
                <w:szCs w:val="20"/>
              </w:rPr>
            </w:pPr>
          </w:p>
          <w:p w:rsidR="00DB1E8A" w:rsidRDefault="003F40AF">
            <w:pPr>
              <w:rPr>
                <w:b/>
                <w:sz w:val="20"/>
                <w:szCs w:val="20"/>
              </w:rPr>
            </w:pPr>
            <w:r>
              <w:rPr>
                <w:color w:val="000000"/>
                <w:sz w:val="20"/>
                <w:szCs w:val="20"/>
              </w:rPr>
              <w:t xml:space="preserve">Logic Studio School </w:t>
            </w:r>
            <w:r>
              <w:rPr>
                <w:color w:val="000000"/>
                <w:sz w:val="20"/>
                <w:szCs w:val="20"/>
                <w:highlight w:val="white"/>
              </w:rPr>
              <w:t>links the education that our students receive with the careers available in the local economy and beyond. We will help our community to access a better future with outstanding progression routes into university, employment or further training.</w:t>
            </w:r>
          </w:p>
        </w:tc>
        <w:tc>
          <w:tcPr>
            <w:tcW w:w="1279" w:type="dxa"/>
          </w:tcPr>
          <w:p w:rsidR="00DB1E8A" w:rsidRDefault="003F40AF">
            <w:pPr>
              <w:rPr>
                <w:b/>
                <w:sz w:val="18"/>
                <w:szCs w:val="18"/>
              </w:rPr>
            </w:pPr>
            <w:r>
              <w:rPr>
                <w:b/>
                <w:sz w:val="18"/>
                <w:szCs w:val="18"/>
              </w:rPr>
              <w:t>Gatsby Bench</w:t>
            </w:r>
            <w:r>
              <w:rPr>
                <w:b/>
                <w:sz w:val="18"/>
                <w:szCs w:val="18"/>
              </w:rPr>
              <w:t>mark/s</w:t>
            </w:r>
          </w:p>
        </w:tc>
        <w:tc>
          <w:tcPr>
            <w:tcW w:w="2117" w:type="dxa"/>
          </w:tcPr>
          <w:p w:rsidR="00DB1E8A" w:rsidRDefault="003F40AF">
            <w:pPr>
              <w:rPr>
                <w:b/>
                <w:sz w:val="18"/>
                <w:szCs w:val="18"/>
              </w:rPr>
            </w:pPr>
            <w:r>
              <w:rPr>
                <w:b/>
                <w:sz w:val="18"/>
                <w:szCs w:val="18"/>
              </w:rPr>
              <w:t xml:space="preserve">Objective </w:t>
            </w:r>
          </w:p>
        </w:tc>
        <w:tc>
          <w:tcPr>
            <w:tcW w:w="2856" w:type="dxa"/>
          </w:tcPr>
          <w:p w:rsidR="00DB1E8A" w:rsidRDefault="003F40AF">
            <w:pPr>
              <w:rPr>
                <w:b/>
                <w:sz w:val="18"/>
                <w:szCs w:val="18"/>
              </w:rPr>
            </w:pPr>
            <w:r>
              <w:rPr>
                <w:b/>
                <w:sz w:val="18"/>
                <w:szCs w:val="18"/>
              </w:rPr>
              <w:t>SMART goals/ targets/ key performance indicators</w:t>
            </w:r>
          </w:p>
        </w:tc>
        <w:tc>
          <w:tcPr>
            <w:tcW w:w="2273" w:type="dxa"/>
          </w:tcPr>
          <w:p w:rsidR="00DB1E8A" w:rsidRDefault="003F40AF">
            <w:pPr>
              <w:rPr>
                <w:b/>
                <w:sz w:val="18"/>
                <w:szCs w:val="18"/>
              </w:rPr>
            </w:pPr>
            <w:r>
              <w:rPr>
                <w:b/>
                <w:sz w:val="18"/>
                <w:szCs w:val="18"/>
              </w:rPr>
              <w:t>Outputs</w:t>
            </w:r>
          </w:p>
        </w:tc>
        <w:tc>
          <w:tcPr>
            <w:tcW w:w="1852" w:type="dxa"/>
          </w:tcPr>
          <w:p w:rsidR="00DB1E8A" w:rsidRDefault="003F40AF">
            <w:pPr>
              <w:rPr>
                <w:b/>
                <w:sz w:val="18"/>
                <w:szCs w:val="18"/>
              </w:rPr>
            </w:pPr>
            <w:r>
              <w:rPr>
                <w:b/>
                <w:sz w:val="18"/>
                <w:szCs w:val="18"/>
              </w:rPr>
              <w:t>Activities</w:t>
            </w:r>
          </w:p>
        </w:tc>
        <w:tc>
          <w:tcPr>
            <w:tcW w:w="1279" w:type="dxa"/>
          </w:tcPr>
          <w:p w:rsidR="00DB1E8A" w:rsidRDefault="003F40AF">
            <w:pPr>
              <w:rPr>
                <w:b/>
                <w:sz w:val="18"/>
                <w:szCs w:val="18"/>
              </w:rPr>
            </w:pPr>
            <w:r>
              <w:rPr>
                <w:b/>
                <w:sz w:val="18"/>
                <w:szCs w:val="18"/>
              </w:rPr>
              <w:t>Who?</w:t>
            </w:r>
          </w:p>
        </w:tc>
        <w:tc>
          <w:tcPr>
            <w:tcW w:w="1420" w:type="dxa"/>
          </w:tcPr>
          <w:p w:rsidR="00DB1E8A" w:rsidRDefault="003F40AF">
            <w:pPr>
              <w:rPr>
                <w:b/>
                <w:sz w:val="18"/>
                <w:szCs w:val="18"/>
              </w:rPr>
            </w:pPr>
            <w:r>
              <w:rPr>
                <w:b/>
                <w:sz w:val="18"/>
                <w:szCs w:val="18"/>
              </w:rPr>
              <w:t>By when?</w:t>
            </w:r>
          </w:p>
        </w:tc>
      </w:tr>
      <w:tr w:rsidR="00DB1E8A">
        <w:trPr>
          <w:trHeight w:val="900"/>
        </w:trPr>
        <w:tc>
          <w:tcPr>
            <w:tcW w:w="1842" w:type="dxa"/>
            <w:vMerge/>
          </w:tcPr>
          <w:p w:rsidR="00DB1E8A" w:rsidRDefault="00DB1E8A">
            <w:pPr>
              <w:widowControl w:val="0"/>
              <w:pBdr>
                <w:top w:val="nil"/>
                <w:left w:val="nil"/>
                <w:bottom w:val="nil"/>
                <w:right w:val="nil"/>
                <w:between w:val="nil"/>
              </w:pBdr>
              <w:spacing w:line="276" w:lineRule="auto"/>
              <w:rPr>
                <w:b/>
                <w:sz w:val="18"/>
                <w:szCs w:val="18"/>
              </w:rPr>
            </w:pPr>
          </w:p>
        </w:tc>
        <w:tc>
          <w:tcPr>
            <w:tcW w:w="1279" w:type="dxa"/>
            <w:shd w:val="clear" w:color="auto" w:fill="DEEBF6"/>
          </w:tcPr>
          <w:p w:rsidR="00DB1E8A" w:rsidRDefault="003F40AF">
            <w:pPr>
              <w:rPr>
                <w:sz w:val="20"/>
                <w:szCs w:val="20"/>
              </w:rPr>
            </w:pPr>
            <w:r>
              <w:rPr>
                <w:sz w:val="20"/>
                <w:szCs w:val="20"/>
              </w:rPr>
              <w:t>1, 4</w:t>
            </w:r>
          </w:p>
        </w:tc>
        <w:tc>
          <w:tcPr>
            <w:tcW w:w="2117" w:type="dxa"/>
            <w:shd w:val="clear" w:color="auto" w:fill="DEEBF6"/>
          </w:tcPr>
          <w:p w:rsidR="00DB1E8A" w:rsidRDefault="003F40AF">
            <w:pPr>
              <w:spacing w:line="259" w:lineRule="auto"/>
              <w:rPr>
                <w:b/>
                <w:sz w:val="20"/>
                <w:szCs w:val="20"/>
              </w:rPr>
            </w:pPr>
            <w:r>
              <w:rPr>
                <w:b/>
                <w:sz w:val="20"/>
                <w:szCs w:val="20"/>
              </w:rPr>
              <w:t>Objective 1</w:t>
            </w:r>
          </w:p>
          <w:p w:rsidR="00DB1E8A" w:rsidRDefault="00DB1E8A">
            <w:pPr>
              <w:spacing w:line="259" w:lineRule="auto"/>
              <w:rPr>
                <w:b/>
                <w:sz w:val="20"/>
                <w:szCs w:val="20"/>
              </w:rPr>
            </w:pPr>
          </w:p>
          <w:p w:rsidR="00DB1E8A" w:rsidRDefault="003F40AF">
            <w:pPr>
              <w:spacing w:line="259" w:lineRule="auto"/>
              <w:rPr>
                <w:b/>
                <w:sz w:val="18"/>
                <w:szCs w:val="18"/>
                <w:highlight w:val="yellow"/>
              </w:rPr>
            </w:pPr>
            <w:r>
              <w:rPr>
                <w:sz w:val="18"/>
                <w:szCs w:val="18"/>
              </w:rPr>
              <w:t xml:space="preserve">All students will be given specific opportunities to acquire relevant academic qualifications and employment skills through Logic’s specialised curriculum, PBL weeks and lesson based &amp; enrichment opportunities. </w:t>
            </w:r>
          </w:p>
        </w:tc>
        <w:tc>
          <w:tcPr>
            <w:tcW w:w="2856" w:type="dxa"/>
            <w:shd w:val="clear" w:color="auto" w:fill="DEEBF6"/>
          </w:tcPr>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All students at KS4 and KS5 have the oppor</w:t>
            </w:r>
            <w:r>
              <w:rPr>
                <w:i/>
                <w:sz w:val="18"/>
                <w:szCs w:val="18"/>
              </w:rPr>
              <w:t xml:space="preserve">tunity to study Logic’s specialised curriculum; this is relevant to them and the potential careers pathways they are interested in.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 xml:space="preserve">All students participate in a minimum of 5 PBL projects throughout KS4 and again at KS5. These are relevant to their courses and provide opportunities to develop employment skills.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All students will be participate in at least 5 other out of lesson e</w:t>
            </w:r>
            <w:r>
              <w:rPr>
                <w:i/>
                <w:sz w:val="18"/>
                <w:szCs w:val="18"/>
              </w:rPr>
              <w:t xml:space="preserve">nrichment activities at KS4 and 3  at KS5; these will allow them to develop their awareness of the world outside of our local community. </w:t>
            </w:r>
          </w:p>
          <w:p w:rsidR="00DB1E8A" w:rsidRDefault="00DB1E8A">
            <w:pPr>
              <w:rPr>
                <w:i/>
                <w:sz w:val="18"/>
                <w:szCs w:val="18"/>
              </w:rPr>
            </w:pPr>
          </w:p>
          <w:p w:rsidR="00DB1E8A" w:rsidRDefault="00DB1E8A">
            <w:pPr>
              <w:pBdr>
                <w:top w:val="nil"/>
                <w:left w:val="nil"/>
                <w:bottom w:val="nil"/>
                <w:right w:val="nil"/>
                <w:between w:val="nil"/>
              </w:pBdr>
              <w:ind w:left="-389"/>
              <w:rPr>
                <w:i/>
                <w:color w:val="000000"/>
                <w:sz w:val="18"/>
                <w:szCs w:val="18"/>
              </w:rPr>
            </w:pPr>
          </w:p>
        </w:tc>
        <w:tc>
          <w:tcPr>
            <w:tcW w:w="2273" w:type="dxa"/>
            <w:shd w:val="clear" w:color="auto" w:fill="DEEBF6"/>
          </w:tcPr>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3F40AF">
            <w:pPr>
              <w:numPr>
                <w:ilvl w:val="0"/>
                <w:numId w:val="2"/>
              </w:numPr>
              <w:pBdr>
                <w:top w:val="nil"/>
                <w:left w:val="nil"/>
                <w:bottom w:val="nil"/>
                <w:right w:val="nil"/>
                <w:between w:val="nil"/>
              </w:pBdr>
              <w:ind w:left="323"/>
              <w:contextualSpacing/>
              <w:rPr>
                <w:i/>
                <w:color w:val="000000"/>
                <w:sz w:val="18"/>
                <w:szCs w:val="18"/>
              </w:rPr>
            </w:pPr>
            <w:r>
              <w:rPr>
                <w:i/>
                <w:sz w:val="18"/>
                <w:szCs w:val="18"/>
              </w:rPr>
              <w:t>Relevant academic qualifications achieved by students at the end of Year 11 and Year 13, supporting transition to post 16 options and post 18 options</w:t>
            </w:r>
            <w:proofErr w:type="gramStart"/>
            <w:r>
              <w:rPr>
                <w:i/>
                <w:sz w:val="18"/>
                <w:szCs w:val="18"/>
              </w:rPr>
              <w:t>..</w:t>
            </w:r>
            <w:proofErr w:type="gramEnd"/>
            <w:r>
              <w:rPr>
                <w:i/>
                <w:sz w:val="18"/>
                <w:szCs w:val="18"/>
              </w:rPr>
              <w:t xml:space="preserve"> </w:t>
            </w: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3F40AF">
            <w:pPr>
              <w:numPr>
                <w:ilvl w:val="0"/>
                <w:numId w:val="2"/>
              </w:numPr>
              <w:pBdr>
                <w:top w:val="nil"/>
                <w:left w:val="nil"/>
                <w:bottom w:val="nil"/>
                <w:right w:val="nil"/>
                <w:between w:val="nil"/>
              </w:pBdr>
              <w:ind w:left="323"/>
              <w:contextualSpacing/>
              <w:rPr>
                <w:i/>
                <w:color w:val="000000"/>
                <w:sz w:val="18"/>
                <w:szCs w:val="18"/>
              </w:rPr>
            </w:pPr>
            <w:r>
              <w:rPr>
                <w:i/>
                <w:sz w:val="18"/>
                <w:szCs w:val="18"/>
              </w:rPr>
              <w:t>Students use academic s</w:t>
            </w:r>
            <w:r w:rsidR="00AA485C">
              <w:rPr>
                <w:i/>
                <w:sz w:val="18"/>
                <w:szCs w:val="18"/>
              </w:rPr>
              <w:t>kills within various ‘real PBL’</w:t>
            </w:r>
            <w:r>
              <w:rPr>
                <w:i/>
                <w:sz w:val="18"/>
                <w:szCs w:val="18"/>
              </w:rPr>
              <w:t xml:space="preserve"> projects. Students develop employment skil</w:t>
            </w:r>
            <w:r>
              <w:rPr>
                <w:i/>
                <w:sz w:val="18"/>
                <w:szCs w:val="18"/>
              </w:rPr>
              <w:t xml:space="preserve">ls that will benefit them in the future. </w:t>
            </w: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3F40AF">
            <w:pPr>
              <w:numPr>
                <w:ilvl w:val="0"/>
                <w:numId w:val="2"/>
              </w:numPr>
              <w:pBdr>
                <w:top w:val="nil"/>
                <w:left w:val="nil"/>
                <w:bottom w:val="nil"/>
                <w:right w:val="nil"/>
                <w:between w:val="nil"/>
              </w:pBdr>
              <w:ind w:left="323"/>
              <w:contextualSpacing/>
              <w:rPr>
                <w:i/>
                <w:sz w:val="18"/>
                <w:szCs w:val="18"/>
              </w:rPr>
            </w:pPr>
            <w:r>
              <w:rPr>
                <w:i/>
                <w:sz w:val="18"/>
                <w:szCs w:val="18"/>
              </w:rPr>
              <w:t xml:space="preserve">Students develop an increased awareness and understanding of the opportunities in London, the UK and the rest of the world.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sz w:val="18"/>
                <w:szCs w:val="18"/>
              </w:rPr>
            </w:pPr>
          </w:p>
        </w:tc>
        <w:tc>
          <w:tcPr>
            <w:tcW w:w="1852" w:type="dxa"/>
            <w:shd w:val="clear" w:color="auto" w:fill="DEEBF6"/>
          </w:tcPr>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3F40AF">
            <w:pPr>
              <w:numPr>
                <w:ilvl w:val="0"/>
                <w:numId w:val="1"/>
              </w:numPr>
              <w:pBdr>
                <w:top w:val="nil"/>
                <w:left w:val="nil"/>
                <w:bottom w:val="nil"/>
                <w:right w:val="nil"/>
                <w:between w:val="nil"/>
              </w:pBdr>
              <w:ind w:left="317"/>
              <w:contextualSpacing/>
              <w:rPr>
                <w:i/>
                <w:color w:val="000000"/>
                <w:sz w:val="18"/>
                <w:szCs w:val="18"/>
              </w:rPr>
            </w:pPr>
            <w:r>
              <w:rPr>
                <w:i/>
                <w:sz w:val="18"/>
                <w:szCs w:val="18"/>
              </w:rPr>
              <w:t xml:space="preserve">Specialised curriculum with identified subjects. </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 xml:space="preserve">Industry qualifications through AAT and CISCO. </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Employer Pathways at KS5</w:t>
            </w:r>
          </w:p>
          <w:p w:rsidR="00DB1E8A" w:rsidRDefault="00DB1E8A">
            <w:pPr>
              <w:pBdr>
                <w:top w:val="nil"/>
                <w:left w:val="nil"/>
                <w:bottom w:val="nil"/>
                <w:right w:val="nil"/>
                <w:between w:val="nil"/>
              </w:pBdr>
              <w:rPr>
                <w:i/>
                <w:sz w:val="18"/>
                <w:szCs w:val="18"/>
              </w:rPr>
            </w:pPr>
          </w:p>
          <w:p w:rsidR="00DB1E8A" w:rsidRDefault="00DB1E8A">
            <w:pPr>
              <w:pBdr>
                <w:top w:val="nil"/>
                <w:left w:val="nil"/>
                <w:bottom w:val="nil"/>
                <w:right w:val="nil"/>
                <w:between w:val="nil"/>
              </w:pBdr>
              <w:rPr>
                <w:i/>
                <w:sz w:val="18"/>
                <w:szCs w:val="18"/>
              </w:rPr>
            </w:pPr>
          </w:p>
          <w:p w:rsidR="00DB1E8A" w:rsidRDefault="003F40AF">
            <w:pPr>
              <w:numPr>
                <w:ilvl w:val="0"/>
                <w:numId w:val="1"/>
              </w:numPr>
              <w:pBdr>
                <w:top w:val="nil"/>
                <w:left w:val="nil"/>
                <w:bottom w:val="nil"/>
                <w:right w:val="nil"/>
                <w:between w:val="nil"/>
              </w:pBdr>
              <w:ind w:left="317"/>
              <w:contextualSpacing/>
              <w:rPr>
                <w:i/>
                <w:color w:val="000000"/>
                <w:sz w:val="18"/>
                <w:szCs w:val="18"/>
              </w:rPr>
            </w:pPr>
            <w:r>
              <w:rPr>
                <w:i/>
                <w:sz w:val="18"/>
                <w:szCs w:val="18"/>
              </w:rPr>
              <w:t>Easter Enterprise</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 xml:space="preserve">Gaia Film </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Jekyll and Hyde</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Logic Debate</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Crowdfunding</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Revision Video creation</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Business Recruitment Day</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Weekly Enrichment</w:t>
            </w:r>
          </w:p>
          <w:p w:rsidR="00DB1E8A" w:rsidRDefault="00DB1E8A">
            <w:pPr>
              <w:pBdr>
                <w:top w:val="nil"/>
                <w:left w:val="nil"/>
                <w:bottom w:val="nil"/>
                <w:right w:val="nil"/>
                <w:between w:val="nil"/>
              </w:pBdr>
              <w:rPr>
                <w:i/>
                <w:sz w:val="18"/>
                <w:szCs w:val="18"/>
              </w:rPr>
            </w:pPr>
          </w:p>
          <w:p w:rsidR="00DB1E8A" w:rsidRDefault="003F40AF">
            <w:pPr>
              <w:numPr>
                <w:ilvl w:val="0"/>
                <w:numId w:val="1"/>
              </w:numPr>
              <w:pBdr>
                <w:top w:val="nil"/>
                <w:left w:val="nil"/>
                <w:bottom w:val="nil"/>
                <w:right w:val="nil"/>
                <w:between w:val="nil"/>
              </w:pBdr>
              <w:ind w:left="317"/>
              <w:contextualSpacing/>
              <w:rPr>
                <w:i/>
                <w:color w:val="000000"/>
                <w:sz w:val="18"/>
                <w:szCs w:val="18"/>
              </w:rPr>
            </w:pPr>
            <w:r>
              <w:rPr>
                <w:i/>
                <w:sz w:val="18"/>
                <w:szCs w:val="18"/>
              </w:rPr>
              <w:t>Feltham Futures</w:t>
            </w:r>
          </w:p>
          <w:p w:rsidR="00DB1E8A" w:rsidRDefault="003F40AF">
            <w:pPr>
              <w:numPr>
                <w:ilvl w:val="0"/>
                <w:numId w:val="1"/>
              </w:numPr>
              <w:pBdr>
                <w:top w:val="nil"/>
                <w:left w:val="nil"/>
                <w:bottom w:val="nil"/>
                <w:right w:val="nil"/>
                <w:between w:val="nil"/>
              </w:pBdr>
              <w:ind w:left="317"/>
              <w:contextualSpacing/>
              <w:rPr>
                <w:i/>
                <w:color w:val="000000"/>
                <w:sz w:val="18"/>
                <w:szCs w:val="18"/>
              </w:rPr>
            </w:pPr>
            <w:r>
              <w:rPr>
                <w:i/>
                <w:sz w:val="18"/>
                <w:szCs w:val="18"/>
              </w:rPr>
              <w:t>Business Recruitment Day</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Christmas Fair</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Cookie Bar Challenge</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Careers Visit Trips</w:t>
            </w:r>
          </w:p>
          <w:p w:rsidR="00DB1E8A" w:rsidRDefault="003F40AF">
            <w:pPr>
              <w:numPr>
                <w:ilvl w:val="0"/>
                <w:numId w:val="1"/>
              </w:numPr>
              <w:pBdr>
                <w:top w:val="nil"/>
                <w:left w:val="nil"/>
                <w:bottom w:val="nil"/>
                <w:right w:val="nil"/>
                <w:between w:val="nil"/>
              </w:pBdr>
              <w:ind w:left="317"/>
              <w:contextualSpacing/>
              <w:rPr>
                <w:i/>
                <w:sz w:val="18"/>
                <w:szCs w:val="18"/>
              </w:rPr>
            </w:pPr>
            <w:r>
              <w:rPr>
                <w:i/>
                <w:sz w:val="18"/>
                <w:szCs w:val="18"/>
              </w:rPr>
              <w:t>Preparing for University, apprenticeships and Employment Day.</w:t>
            </w:r>
          </w:p>
        </w:tc>
        <w:tc>
          <w:tcPr>
            <w:tcW w:w="1279" w:type="dxa"/>
            <w:shd w:val="clear" w:color="auto" w:fill="DEEBF6"/>
          </w:tcPr>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Senior Leadership Team and Governing body</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PBL Team / VP in charge of Enrichment</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PBL Team / VP in charge of Enrichment</w:t>
            </w:r>
          </w:p>
        </w:tc>
        <w:tc>
          <w:tcPr>
            <w:tcW w:w="1420" w:type="dxa"/>
            <w:shd w:val="clear" w:color="auto" w:fill="DEEBF6"/>
          </w:tcPr>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July 2018</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July 2019</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July 2019</w:t>
            </w:r>
          </w:p>
        </w:tc>
      </w:tr>
    </w:tbl>
    <w:tbl>
      <w:tblPr>
        <w:tblStyle w:val="a0"/>
        <w:tblW w:w="1483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275"/>
        <w:gridCol w:w="2100"/>
        <w:gridCol w:w="2910"/>
        <w:gridCol w:w="2250"/>
        <w:gridCol w:w="1845"/>
        <w:gridCol w:w="1305"/>
        <w:gridCol w:w="1335"/>
      </w:tblGrid>
      <w:tr w:rsidR="00DB1E8A">
        <w:trPr>
          <w:trHeight w:val="400"/>
        </w:trPr>
        <w:tc>
          <w:tcPr>
            <w:tcW w:w="1815" w:type="dxa"/>
            <w:vMerge w:val="restart"/>
          </w:tcPr>
          <w:p w:rsidR="00DB1E8A" w:rsidRDefault="00DB1E8A">
            <w:pPr>
              <w:jc w:val="center"/>
              <w:rPr>
                <w:b/>
              </w:rPr>
            </w:pPr>
          </w:p>
          <w:p w:rsidR="00AA485C" w:rsidRDefault="00AA485C">
            <w:pPr>
              <w:jc w:val="center"/>
              <w:rPr>
                <w:b/>
              </w:rPr>
            </w:pPr>
          </w:p>
          <w:p w:rsidR="00DB1E8A" w:rsidRDefault="003F40AF">
            <w:pPr>
              <w:rPr>
                <w:sz w:val="20"/>
                <w:szCs w:val="20"/>
              </w:rPr>
            </w:pPr>
            <w:r>
              <w:rPr>
                <w:sz w:val="20"/>
                <w:szCs w:val="20"/>
              </w:rPr>
              <w:t>Our ethos for our students is simple – “</w:t>
            </w:r>
            <w:r>
              <w:rPr>
                <w:b/>
                <w:sz w:val="20"/>
                <w:szCs w:val="20"/>
              </w:rPr>
              <w:t>Looking forwards, Looking outwards and Taking action</w:t>
            </w:r>
            <w:r>
              <w:rPr>
                <w:sz w:val="20"/>
                <w:szCs w:val="20"/>
              </w:rPr>
              <w:t>”.  </w:t>
            </w:r>
          </w:p>
          <w:p w:rsidR="00DB1E8A" w:rsidRDefault="00DB1E8A">
            <w:pPr>
              <w:rPr>
                <w:sz w:val="20"/>
                <w:szCs w:val="20"/>
              </w:rPr>
            </w:pPr>
          </w:p>
          <w:p w:rsidR="00DB1E8A" w:rsidRDefault="003F40AF">
            <w:pPr>
              <w:rPr>
                <w:b/>
                <w:sz w:val="20"/>
                <w:szCs w:val="20"/>
              </w:rPr>
            </w:pPr>
            <w:r>
              <w:rPr>
                <w:sz w:val="20"/>
                <w:szCs w:val="20"/>
              </w:rPr>
              <w:t xml:space="preserve">Logic Studio School </w:t>
            </w:r>
            <w:r>
              <w:rPr>
                <w:sz w:val="20"/>
                <w:szCs w:val="20"/>
                <w:highlight w:val="white"/>
              </w:rPr>
              <w:t>links the education that our students receive with the careers available in the local economy and beyond. We will help our community to access a better future with outstanding progression routes into university, employment or further training.</w:t>
            </w:r>
          </w:p>
        </w:tc>
        <w:tc>
          <w:tcPr>
            <w:tcW w:w="1275" w:type="dxa"/>
          </w:tcPr>
          <w:p w:rsidR="00DB1E8A" w:rsidRDefault="003F40AF">
            <w:pPr>
              <w:rPr>
                <w:b/>
                <w:sz w:val="18"/>
                <w:szCs w:val="18"/>
              </w:rPr>
            </w:pPr>
            <w:r>
              <w:rPr>
                <w:b/>
                <w:sz w:val="18"/>
                <w:szCs w:val="18"/>
              </w:rPr>
              <w:t>Gatsby Bench</w:t>
            </w:r>
            <w:r>
              <w:rPr>
                <w:b/>
                <w:sz w:val="18"/>
                <w:szCs w:val="18"/>
              </w:rPr>
              <w:t>mark/s</w:t>
            </w:r>
          </w:p>
        </w:tc>
        <w:tc>
          <w:tcPr>
            <w:tcW w:w="2100" w:type="dxa"/>
          </w:tcPr>
          <w:p w:rsidR="00DB1E8A" w:rsidRDefault="003F40AF">
            <w:pPr>
              <w:rPr>
                <w:b/>
                <w:sz w:val="18"/>
                <w:szCs w:val="18"/>
              </w:rPr>
            </w:pPr>
            <w:r>
              <w:rPr>
                <w:b/>
                <w:sz w:val="18"/>
                <w:szCs w:val="18"/>
              </w:rPr>
              <w:t xml:space="preserve">Objective </w:t>
            </w:r>
          </w:p>
        </w:tc>
        <w:tc>
          <w:tcPr>
            <w:tcW w:w="2910" w:type="dxa"/>
          </w:tcPr>
          <w:p w:rsidR="00DB1E8A" w:rsidRDefault="003F40AF">
            <w:pPr>
              <w:rPr>
                <w:b/>
                <w:sz w:val="18"/>
                <w:szCs w:val="18"/>
                <w:highlight w:val="yellow"/>
              </w:rPr>
            </w:pPr>
            <w:r>
              <w:rPr>
                <w:b/>
                <w:sz w:val="18"/>
                <w:szCs w:val="18"/>
              </w:rPr>
              <w:t>SMART goals/ targets/ key performance indicators</w:t>
            </w:r>
          </w:p>
        </w:tc>
        <w:tc>
          <w:tcPr>
            <w:tcW w:w="2250" w:type="dxa"/>
          </w:tcPr>
          <w:p w:rsidR="00DB1E8A" w:rsidRDefault="003F40AF">
            <w:pPr>
              <w:rPr>
                <w:b/>
                <w:sz w:val="18"/>
                <w:szCs w:val="18"/>
              </w:rPr>
            </w:pPr>
            <w:r>
              <w:rPr>
                <w:b/>
                <w:sz w:val="18"/>
                <w:szCs w:val="18"/>
              </w:rPr>
              <w:t>Outputs</w:t>
            </w:r>
          </w:p>
        </w:tc>
        <w:tc>
          <w:tcPr>
            <w:tcW w:w="1845" w:type="dxa"/>
          </w:tcPr>
          <w:p w:rsidR="00DB1E8A" w:rsidRDefault="003F40AF">
            <w:pPr>
              <w:rPr>
                <w:b/>
                <w:sz w:val="18"/>
                <w:szCs w:val="18"/>
              </w:rPr>
            </w:pPr>
            <w:r>
              <w:rPr>
                <w:b/>
                <w:sz w:val="18"/>
                <w:szCs w:val="18"/>
              </w:rPr>
              <w:t>Activities</w:t>
            </w:r>
          </w:p>
        </w:tc>
        <w:tc>
          <w:tcPr>
            <w:tcW w:w="1305" w:type="dxa"/>
          </w:tcPr>
          <w:p w:rsidR="00DB1E8A" w:rsidRDefault="003F40AF">
            <w:pPr>
              <w:rPr>
                <w:b/>
                <w:sz w:val="18"/>
                <w:szCs w:val="18"/>
              </w:rPr>
            </w:pPr>
            <w:r>
              <w:rPr>
                <w:b/>
                <w:sz w:val="18"/>
                <w:szCs w:val="18"/>
              </w:rPr>
              <w:t>Who?</w:t>
            </w:r>
          </w:p>
        </w:tc>
        <w:tc>
          <w:tcPr>
            <w:tcW w:w="1335" w:type="dxa"/>
          </w:tcPr>
          <w:p w:rsidR="00DB1E8A" w:rsidRDefault="003F40AF">
            <w:pPr>
              <w:rPr>
                <w:b/>
                <w:sz w:val="18"/>
                <w:szCs w:val="18"/>
              </w:rPr>
            </w:pPr>
            <w:r>
              <w:rPr>
                <w:b/>
                <w:sz w:val="18"/>
                <w:szCs w:val="18"/>
              </w:rPr>
              <w:t>By when?</w:t>
            </w:r>
          </w:p>
        </w:tc>
      </w:tr>
      <w:tr w:rsidR="00DB1E8A">
        <w:trPr>
          <w:trHeight w:val="900"/>
        </w:trPr>
        <w:tc>
          <w:tcPr>
            <w:tcW w:w="1815" w:type="dxa"/>
            <w:vMerge/>
          </w:tcPr>
          <w:p w:rsidR="00DB1E8A" w:rsidRDefault="00DB1E8A">
            <w:pPr>
              <w:widowControl w:val="0"/>
              <w:spacing w:line="276" w:lineRule="auto"/>
              <w:rPr>
                <w:b/>
                <w:sz w:val="18"/>
                <w:szCs w:val="18"/>
              </w:rPr>
            </w:pPr>
          </w:p>
        </w:tc>
        <w:tc>
          <w:tcPr>
            <w:tcW w:w="1275" w:type="dxa"/>
            <w:shd w:val="clear" w:color="auto" w:fill="DEEBF6"/>
          </w:tcPr>
          <w:p w:rsidR="00DB1E8A" w:rsidRDefault="003F40AF">
            <w:pPr>
              <w:rPr>
                <w:sz w:val="20"/>
                <w:szCs w:val="20"/>
              </w:rPr>
            </w:pPr>
            <w:r>
              <w:rPr>
                <w:sz w:val="20"/>
                <w:szCs w:val="20"/>
              </w:rPr>
              <w:t>2, 3, 7, 8</w:t>
            </w:r>
          </w:p>
        </w:tc>
        <w:tc>
          <w:tcPr>
            <w:tcW w:w="2100" w:type="dxa"/>
            <w:shd w:val="clear" w:color="auto" w:fill="DEEBF6"/>
          </w:tcPr>
          <w:p w:rsidR="00DB1E8A" w:rsidRDefault="003F40AF">
            <w:pPr>
              <w:rPr>
                <w:b/>
                <w:sz w:val="20"/>
                <w:szCs w:val="20"/>
              </w:rPr>
            </w:pPr>
            <w:r>
              <w:rPr>
                <w:b/>
                <w:sz w:val="20"/>
                <w:szCs w:val="20"/>
              </w:rPr>
              <w:t>Objective 2</w:t>
            </w:r>
          </w:p>
          <w:p w:rsidR="00DB1E8A" w:rsidRDefault="00DB1E8A">
            <w:pPr>
              <w:rPr>
                <w:b/>
                <w:sz w:val="20"/>
                <w:szCs w:val="20"/>
              </w:rPr>
            </w:pPr>
          </w:p>
          <w:p w:rsidR="00DB1E8A" w:rsidRDefault="003F40AF">
            <w:pPr>
              <w:spacing w:line="259" w:lineRule="auto"/>
              <w:rPr>
                <w:b/>
                <w:sz w:val="18"/>
                <w:szCs w:val="18"/>
                <w:highlight w:val="yellow"/>
              </w:rPr>
            </w:pPr>
            <w:r>
              <w:rPr>
                <w:sz w:val="18"/>
                <w:szCs w:val="18"/>
              </w:rPr>
              <w:t>Each year, all students will receive impartial, relevant and aspirational careers and transition guidance to support their pathway planning. This will include relevant labour market information, access to higher and further education opportunities and info</w:t>
            </w:r>
            <w:r>
              <w:rPr>
                <w:sz w:val="18"/>
                <w:szCs w:val="18"/>
              </w:rPr>
              <w:t xml:space="preserve">rmation on apprenticeship and employment opportunities. </w:t>
            </w:r>
          </w:p>
        </w:tc>
        <w:tc>
          <w:tcPr>
            <w:tcW w:w="2910" w:type="dxa"/>
            <w:shd w:val="clear" w:color="auto" w:fill="DEEBF6"/>
          </w:tcPr>
          <w:p w:rsidR="00DB1E8A" w:rsidRDefault="00DB1E8A">
            <w:pPr>
              <w:rPr>
                <w:b/>
                <w:sz w:val="20"/>
                <w:szCs w:val="20"/>
              </w:rPr>
            </w:pPr>
          </w:p>
          <w:p w:rsidR="00DB1E8A" w:rsidRDefault="003F40AF">
            <w:pPr>
              <w:rPr>
                <w:sz w:val="18"/>
                <w:szCs w:val="18"/>
              </w:rPr>
            </w:pPr>
            <w:r>
              <w:rPr>
                <w:sz w:val="18"/>
                <w:szCs w:val="18"/>
              </w:rPr>
              <w:t>Every student will have a half termly meeting with a member of staff to support their transition into Logic, their progress at Logic, and their transition out of Logic. This will be recorded at each</w:t>
            </w:r>
            <w:r>
              <w:rPr>
                <w:sz w:val="18"/>
                <w:szCs w:val="18"/>
              </w:rPr>
              <w:t xml:space="preserve"> stage. </w:t>
            </w:r>
          </w:p>
          <w:p w:rsidR="00DB1E8A" w:rsidRDefault="00DB1E8A">
            <w:pPr>
              <w:rPr>
                <w:sz w:val="18"/>
                <w:szCs w:val="18"/>
              </w:rPr>
            </w:pPr>
          </w:p>
          <w:p w:rsidR="00DB1E8A" w:rsidRDefault="003F40AF">
            <w:pPr>
              <w:rPr>
                <w:sz w:val="18"/>
                <w:szCs w:val="18"/>
              </w:rPr>
            </w:pPr>
            <w:r>
              <w:rPr>
                <w:sz w:val="18"/>
                <w:szCs w:val="18"/>
              </w:rPr>
              <w:t xml:space="preserve">All students at KS4 and KS5 will learn about the local labour market information and its relevance to them. </w:t>
            </w:r>
          </w:p>
          <w:p w:rsidR="00DB1E8A" w:rsidRDefault="00DB1E8A">
            <w:pPr>
              <w:rPr>
                <w:sz w:val="18"/>
                <w:szCs w:val="18"/>
              </w:rPr>
            </w:pPr>
          </w:p>
          <w:p w:rsidR="00DB1E8A" w:rsidRDefault="00DB1E8A">
            <w:pPr>
              <w:rPr>
                <w:sz w:val="18"/>
                <w:szCs w:val="18"/>
              </w:rPr>
            </w:pPr>
          </w:p>
          <w:p w:rsidR="00DB1E8A" w:rsidRDefault="003F40AF">
            <w:pPr>
              <w:rPr>
                <w:sz w:val="18"/>
                <w:szCs w:val="18"/>
              </w:rPr>
            </w:pPr>
            <w:r>
              <w:rPr>
                <w:sz w:val="18"/>
                <w:szCs w:val="18"/>
              </w:rPr>
              <w:t xml:space="preserve">At KS4, every student will visit at least one university organised by Logic, to look at Post 18 options for Higher Education. </w:t>
            </w:r>
          </w:p>
          <w:p w:rsidR="00DB1E8A" w:rsidRDefault="00DB1E8A">
            <w:pPr>
              <w:rPr>
                <w:sz w:val="18"/>
                <w:szCs w:val="18"/>
              </w:rPr>
            </w:pPr>
          </w:p>
          <w:p w:rsidR="00DB1E8A" w:rsidRDefault="003F40AF">
            <w:pPr>
              <w:rPr>
                <w:sz w:val="18"/>
                <w:szCs w:val="18"/>
              </w:rPr>
            </w:pPr>
            <w:r>
              <w:rPr>
                <w:sz w:val="18"/>
                <w:szCs w:val="18"/>
              </w:rPr>
              <w:t xml:space="preserve">At KS5, every student will be able to visit at least one </w:t>
            </w:r>
            <w:r w:rsidR="00AA485C">
              <w:rPr>
                <w:sz w:val="18"/>
                <w:szCs w:val="18"/>
              </w:rPr>
              <w:t xml:space="preserve">university organised by Logic, </w:t>
            </w:r>
            <w:r>
              <w:rPr>
                <w:sz w:val="18"/>
                <w:szCs w:val="18"/>
              </w:rPr>
              <w:t xml:space="preserve">to look at Post 18 options for Higher Education. </w:t>
            </w:r>
          </w:p>
          <w:p w:rsidR="00DB1E8A" w:rsidRDefault="00DB1E8A">
            <w:pPr>
              <w:rPr>
                <w:sz w:val="18"/>
                <w:szCs w:val="18"/>
              </w:rPr>
            </w:pPr>
          </w:p>
          <w:p w:rsidR="00DB1E8A" w:rsidRDefault="003F40AF">
            <w:pPr>
              <w:rPr>
                <w:sz w:val="18"/>
                <w:szCs w:val="18"/>
              </w:rPr>
            </w:pPr>
            <w:r>
              <w:rPr>
                <w:sz w:val="18"/>
                <w:szCs w:val="18"/>
              </w:rPr>
              <w:t xml:space="preserve">At KS4, all students will be introduced to Apprenticeships and other opportunities Post 16. </w:t>
            </w:r>
          </w:p>
          <w:p w:rsidR="00DB1E8A" w:rsidRDefault="00DB1E8A">
            <w:pPr>
              <w:rPr>
                <w:sz w:val="18"/>
                <w:szCs w:val="18"/>
              </w:rPr>
            </w:pPr>
          </w:p>
          <w:p w:rsidR="00DB1E8A" w:rsidRDefault="003F40AF">
            <w:pPr>
              <w:rPr>
                <w:sz w:val="18"/>
                <w:szCs w:val="18"/>
              </w:rPr>
            </w:pPr>
            <w:r>
              <w:rPr>
                <w:sz w:val="18"/>
                <w:szCs w:val="18"/>
              </w:rPr>
              <w:t>At KS5, all students w</w:t>
            </w:r>
            <w:r>
              <w:rPr>
                <w:sz w:val="18"/>
                <w:szCs w:val="18"/>
              </w:rPr>
              <w:t xml:space="preserve">ill have further opportunities to learn about Apprenticeship opportunities for them Post 18. </w:t>
            </w:r>
          </w:p>
          <w:p w:rsidR="00DB1E8A" w:rsidRDefault="00DB1E8A">
            <w:pPr>
              <w:rPr>
                <w:sz w:val="18"/>
                <w:szCs w:val="18"/>
              </w:rPr>
            </w:pPr>
          </w:p>
          <w:p w:rsidR="00DB1E8A" w:rsidRDefault="00DB1E8A">
            <w:pPr>
              <w:rPr>
                <w:sz w:val="18"/>
                <w:szCs w:val="18"/>
              </w:rPr>
            </w:pPr>
          </w:p>
          <w:p w:rsidR="00DB1E8A" w:rsidRDefault="003F40AF">
            <w:pPr>
              <w:rPr>
                <w:sz w:val="18"/>
                <w:szCs w:val="18"/>
              </w:rPr>
            </w:pPr>
            <w:r>
              <w:rPr>
                <w:sz w:val="18"/>
                <w:szCs w:val="18"/>
              </w:rPr>
              <w:t xml:space="preserve">Students will have access to an impartial and trained careers adviser to support their career pathway planning. </w:t>
            </w:r>
          </w:p>
        </w:tc>
        <w:tc>
          <w:tcPr>
            <w:tcW w:w="2250" w:type="dxa"/>
            <w:shd w:val="clear" w:color="auto" w:fill="DEEBF6"/>
          </w:tcPr>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Students are supported to make relevant choice</w:t>
            </w:r>
            <w:r>
              <w:rPr>
                <w:i/>
                <w:sz w:val="18"/>
                <w:szCs w:val="18"/>
              </w:rPr>
              <w:t>s for their future.</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Students are aware of the career opportunities in Hounslow, across London and beyond. </w:t>
            </w: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Students are aware of the opportunities that university provides; and the suitability of university to their career pathway aspirations.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Stu</w:t>
            </w:r>
            <w:r>
              <w:rPr>
                <w:i/>
                <w:sz w:val="18"/>
                <w:szCs w:val="18"/>
              </w:rPr>
              <w:t xml:space="preserve">dents are aware of what apprenticeships are including the different levels available; understand the application process and the career pathway on completion. </w:t>
            </w: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To support students in making informed and appropriate decisions at transition points. </w:t>
            </w:r>
          </w:p>
        </w:tc>
        <w:tc>
          <w:tcPr>
            <w:tcW w:w="1845" w:type="dxa"/>
            <w:shd w:val="clear" w:color="auto" w:fill="DEEBF6"/>
          </w:tcPr>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Individual meeting with FT or other staff member.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Assembly; Transition week presentation; referral to Logic website. </w:t>
            </w: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University visits; taster days; Logic careers fair; Year 12 Transition Week; Year 13 Transition Course; ULAS and UCAS. </w:t>
            </w: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Year 11 PBL Transition days; Logic Careers Fair; Year 13 Transition Course; ULAS and NAS websites; google classroom. </w:t>
            </w: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Opportunity for individual meeting for each student. </w:t>
            </w:r>
          </w:p>
        </w:tc>
        <w:tc>
          <w:tcPr>
            <w:tcW w:w="1305" w:type="dxa"/>
            <w:shd w:val="clear" w:color="auto" w:fill="DEEBF6"/>
          </w:tcPr>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All FT’s, overseen by HOY and VP.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Assembly co-ordinator and Careers Lead</w:t>
            </w: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Care</w:t>
            </w:r>
            <w:r>
              <w:rPr>
                <w:i/>
                <w:sz w:val="18"/>
                <w:szCs w:val="18"/>
              </w:rPr>
              <w:t>ers Lead</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 xml:space="preserve">Careers Lead and pathway teams; form tutors.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numPr>
                <w:ilvl w:val="0"/>
                <w:numId w:val="2"/>
              </w:numPr>
              <w:ind w:left="323"/>
              <w:contextualSpacing/>
              <w:rPr>
                <w:i/>
                <w:sz w:val="18"/>
                <w:szCs w:val="18"/>
              </w:rPr>
            </w:pPr>
            <w:r>
              <w:rPr>
                <w:i/>
                <w:sz w:val="18"/>
                <w:szCs w:val="18"/>
              </w:rPr>
              <w:t>Careers Lead</w:t>
            </w:r>
          </w:p>
          <w:p w:rsidR="00DB1E8A" w:rsidRDefault="00DB1E8A">
            <w:pPr>
              <w:rPr>
                <w:i/>
                <w:sz w:val="18"/>
                <w:szCs w:val="18"/>
              </w:rPr>
            </w:pPr>
          </w:p>
        </w:tc>
        <w:tc>
          <w:tcPr>
            <w:tcW w:w="1335" w:type="dxa"/>
            <w:shd w:val="clear" w:color="auto" w:fill="DEEBF6"/>
          </w:tcPr>
          <w:p w:rsidR="00DB1E8A" w:rsidRDefault="00DB1E8A">
            <w:pPr>
              <w:rPr>
                <w:i/>
                <w:sz w:val="18"/>
                <w:szCs w:val="18"/>
              </w:rPr>
            </w:pPr>
          </w:p>
          <w:p w:rsidR="00DB1E8A" w:rsidRDefault="003F40AF">
            <w:pPr>
              <w:rPr>
                <w:i/>
                <w:sz w:val="18"/>
                <w:szCs w:val="18"/>
              </w:rPr>
            </w:pPr>
            <w:r>
              <w:rPr>
                <w:i/>
                <w:sz w:val="18"/>
                <w:szCs w:val="18"/>
              </w:rPr>
              <w:t>September 2018</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Planned by September 2018</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 xml:space="preserve">Ongoing </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Ongoing but in place for 2018-2019</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July 2019</w:t>
            </w:r>
          </w:p>
        </w:tc>
      </w:tr>
    </w:tbl>
    <w:p w:rsidR="00DB1E8A" w:rsidRDefault="00DB1E8A"/>
    <w:tbl>
      <w:tblPr>
        <w:tblStyle w:val="a1"/>
        <w:tblW w:w="148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1279"/>
        <w:gridCol w:w="2117"/>
        <w:gridCol w:w="2814"/>
        <w:gridCol w:w="2409"/>
        <w:gridCol w:w="1701"/>
        <w:gridCol w:w="1276"/>
        <w:gridCol w:w="1418"/>
      </w:tblGrid>
      <w:tr w:rsidR="00DB1E8A" w:rsidTr="00AA485C">
        <w:trPr>
          <w:trHeight w:val="400"/>
        </w:trPr>
        <w:tc>
          <w:tcPr>
            <w:tcW w:w="1842" w:type="dxa"/>
            <w:vMerge w:val="restart"/>
          </w:tcPr>
          <w:p w:rsidR="00DB1E8A" w:rsidRDefault="003F40AF">
            <w:pPr>
              <w:jc w:val="center"/>
              <w:rPr>
                <w:b/>
              </w:rPr>
            </w:pPr>
            <w:bookmarkStart w:id="0" w:name="_gjdgxs" w:colFirst="0" w:colLast="0"/>
            <w:bookmarkEnd w:id="0"/>
            <w:r>
              <w:rPr>
                <w:b/>
              </w:rPr>
              <w:br/>
            </w:r>
          </w:p>
          <w:p w:rsidR="00DB1E8A" w:rsidRDefault="003F40AF">
            <w:pPr>
              <w:rPr>
                <w:sz w:val="20"/>
                <w:szCs w:val="20"/>
              </w:rPr>
            </w:pPr>
            <w:r>
              <w:rPr>
                <w:sz w:val="20"/>
                <w:szCs w:val="20"/>
              </w:rPr>
              <w:t>Our ethos for our students is simple – “</w:t>
            </w:r>
            <w:r>
              <w:rPr>
                <w:b/>
                <w:sz w:val="20"/>
                <w:szCs w:val="20"/>
              </w:rPr>
              <w:t>Looking forwards, Looking outwards and Taking action</w:t>
            </w:r>
            <w:r>
              <w:rPr>
                <w:sz w:val="20"/>
                <w:szCs w:val="20"/>
              </w:rPr>
              <w:t>”.  </w:t>
            </w:r>
          </w:p>
          <w:p w:rsidR="00DB1E8A" w:rsidRDefault="00DB1E8A">
            <w:pPr>
              <w:rPr>
                <w:sz w:val="20"/>
                <w:szCs w:val="20"/>
              </w:rPr>
            </w:pPr>
          </w:p>
          <w:p w:rsidR="00DB1E8A" w:rsidRDefault="003F40AF">
            <w:pPr>
              <w:rPr>
                <w:b/>
                <w:sz w:val="20"/>
                <w:szCs w:val="20"/>
              </w:rPr>
            </w:pPr>
            <w:r>
              <w:rPr>
                <w:sz w:val="20"/>
                <w:szCs w:val="20"/>
              </w:rPr>
              <w:t xml:space="preserve">Logic Studio School </w:t>
            </w:r>
            <w:r>
              <w:rPr>
                <w:sz w:val="20"/>
                <w:szCs w:val="20"/>
                <w:highlight w:val="white"/>
              </w:rPr>
              <w:t>links the education that our students receive with the careers available in the local economy and beyond. We will help our community to access a better future with outstanding pr</w:t>
            </w:r>
            <w:r>
              <w:rPr>
                <w:sz w:val="20"/>
                <w:szCs w:val="20"/>
                <w:highlight w:val="white"/>
              </w:rPr>
              <w:t>ogression routes into university, employment or further training.</w:t>
            </w:r>
          </w:p>
        </w:tc>
        <w:tc>
          <w:tcPr>
            <w:tcW w:w="1279" w:type="dxa"/>
          </w:tcPr>
          <w:p w:rsidR="00DB1E8A" w:rsidRDefault="003F40AF">
            <w:pPr>
              <w:rPr>
                <w:b/>
                <w:sz w:val="18"/>
                <w:szCs w:val="18"/>
              </w:rPr>
            </w:pPr>
            <w:r>
              <w:rPr>
                <w:b/>
                <w:sz w:val="18"/>
                <w:szCs w:val="18"/>
              </w:rPr>
              <w:t>Gatsby Benchmark/s</w:t>
            </w:r>
          </w:p>
        </w:tc>
        <w:tc>
          <w:tcPr>
            <w:tcW w:w="2117" w:type="dxa"/>
          </w:tcPr>
          <w:p w:rsidR="00DB1E8A" w:rsidRDefault="003F40AF">
            <w:pPr>
              <w:rPr>
                <w:b/>
                <w:sz w:val="18"/>
                <w:szCs w:val="18"/>
              </w:rPr>
            </w:pPr>
            <w:r>
              <w:rPr>
                <w:b/>
                <w:sz w:val="18"/>
                <w:szCs w:val="18"/>
              </w:rPr>
              <w:t xml:space="preserve">Objective </w:t>
            </w:r>
          </w:p>
        </w:tc>
        <w:tc>
          <w:tcPr>
            <w:tcW w:w="2814" w:type="dxa"/>
          </w:tcPr>
          <w:p w:rsidR="00DB1E8A" w:rsidRDefault="003F40AF">
            <w:pPr>
              <w:rPr>
                <w:b/>
                <w:sz w:val="18"/>
                <w:szCs w:val="18"/>
              </w:rPr>
            </w:pPr>
            <w:r>
              <w:rPr>
                <w:b/>
                <w:sz w:val="18"/>
                <w:szCs w:val="18"/>
              </w:rPr>
              <w:t>SMART goals/ targets/ key performance indicators</w:t>
            </w:r>
          </w:p>
        </w:tc>
        <w:tc>
          <w:tcPr>
            <w:tcW w:w="2409" w:type="dxa"/>
          </w:tcPr>
          <w:p w:rsidR="00DB1E8A" w:rsidRDefault="003F40AF">
            <w:pPr>
              <w:rPr>
                <w:b/>
                <w:sz w:val="18"/>
                <w:szCs w:val="18"/>
              </w:rPr>
            </w:pPr>
            <w:r>
              <w:rPr>
                <w:b/>
                <w:sz w:val="18"/>
                <w:szCs w:val="18"/>
              </w:rPr>
              <w:t>Outputs</w:t>
            </w:r>
          </w:p>
        </w:tc>
        <w:tc>
          <w:tcPr>
            <w:tcW w:w="1701" w:type="dxa"/>
          </w:tcPr>
          <w:p w:rsidR="00DB1E8A" w:rsidRDefault="003F40AF">
            <w:pPr>
              <w:rPr>
                <w:b/>
                <w:sz w:val="18"/>
                <w:szCs w:val="18"/>
              </w:rPr>
            </w:pPr>
            <w:r>
              <w:rPr>
                <w:b/>
                <w:sz w:val="18"/>
                <w:szCs w:val="18"/>
              </w:rPr>
              <w:t>Activities</w:t>
            </w:r>
          </w:p>
        </w:tc>
        <w:tc>
          <w:tcPr>
            <w:tcW w:w="1276" w:type="dxa"/>
          </w:tcPr>
          <w:p w:rsidR="00DB1E8A" w:rsidRDefault="003F40AF">
            <w:pPr>
              <w:rPr>
                <w:b/>
                <w:sz w:val="18"/>
                <w:szCs w:val="18"/>
              </w:rPr>
            </w:pPr>
            <w:r>
              <w:rPr>
                <w:b/>
                <w:sz w:val="18"/>
                <w:szCs w:val="18"/>
              </w:rPr>
              <w:t>Who?</w:t>
            </w:r>
          </w:p>
        </w:tc>
        <w:tc>
          <w:tcPr>
            <w:tcW w:w="1418" w:type="dxa"/>
          </w:tcPr>
          <w:p w:rsidR="00DB1E8A" w:rsidRDefault="003F40AF">
            <w:pPr>
              <w:rPr>
                <w:b/>
                <w:sz w:val="18"/>
                <w:szCs w:val="18"/>
              </w:rPr>
            </w:pPr>
            <w:r>
              <w:rPr>
                <w:b/>
                <w:sz w:val="18"/>
                <w:szCs w:val="18"/>
              </w:rPr>
              <w:t>By when?</w:t>
            </w:r>
          </w:p>
        </w:tc>
      </w:tr>
      <w:tr w:rsidR="00DB1E8A" w:rsidTr="00AA485C">
        <w:trPr>
          <w:trHeight w:val="900"/>
        </w:trPr>
        <w:tc>
          <w:tcPr>
            <w:tcW w:w="1842" w:type="dxa"/>
            <w:vMerge/>
          </w:tcPr>
          <w:p w:rsidR="00DB1E8A" w:rsidRDefault="00DB1E8A">
            <w:pPr>
              <w:widowControl w:val="0"/>
              <w:spacing w:line="276" w:lineRule="auto"/>
              <w:rPr>
                <w:b/>
                <w:sz w:val="18"/>
                <w:szCs w:val="18"/>
              </w:rPr>
            </w:pPr>
          </w:p>
        </w:tc>
        <w:tc>
          <w:tcPr>
            <w:tcW w:w="1279" w:type="dxa"/>
            <w:shd w:val="clear" w:color="auto" w:fill="DEEBF6"/>
          </w:tcPr>
          <w:p w:rsidR="00DB1E8A" w:rsidRDefault="003F40AF">
            <w:pPr>
              <w:rPr>
                <w:sz w:val="20"/>
                <w:szCs w:val="20"/>
              </w:rPr>
            </w:pPr>
            <w:r>
              <w:rPr>
                <w:sz w:val="20"/>
                <w:szCs w:val="20"/>
              </w:rPr>
              <w:t xml:space="preserve">1, 5 6. </w:t>
            </w:r>
          </w:p>
        </w:tc>
        <w:tc>
          <w:tcPr>
            <w:tcW w:w="2117" w:type="dxa"/>
            <w:shd w:val="clear" w:color="auto" w:fill="DEEBF6"/>
          </w:tcPr>
          <w:p w:rsidR="00DB1E8A" w:rsidRDefault="003F40AF">
            <w:pPr>
              <w:rPr>
                <w:b/>
                <w:sz w:val="20"/>
                <w:szCs w:val="20"/>
              </w:rPr>
            </w:pPr>
            <w:r>
              <w:rPr>
                <w:b/>
                <w:sz w:val="20"/>
                <w:szCs w:val="20"/>
              </w:rPr>
              <w:t>Objective 3.</w:t>
            </w:r>
          </w:p>
          <w:p w:rsidR="00DB1E8A" w:rsidRDefault="00DB1E8A">
            <w:pPr>
              <w:rPr>
                <w:b/>
                <w:sz w:val="20"/>
                <w:szCs w:val="20"/>
              </w:rPr>
            </w:pPr>
          </w:p>
          <w:p w:rsidR="00DB1E8A" w:rsidRDefault="003F40AF">
            <w:pPr>
              <w:spacing w:line="259" w:lineRule="auto"/>
              <w:rPr>
                <w:b/>
                <w:sz w:val="18"/>
                <w:szCs w:val="18"/>
              </w:rPr>
            </w:pPr>
            <w:r>
              <w:rPr>
                <w:sz w:val="18"/>
                <w:szCs w:val="18"/>
              </w:rPr>
              <w:t xml:space="preserve">All students will undertake a programme of work-based activities and encounters, providing opportunities to meet, engage with and learn from employers both at Logic and within the local business environment.  </w:t>
            </w:r>
          </w:p>
        </w:tc>
        <w:tc>
          <w:tcPr>
            <w:tcW w:w="2814" w:type="dxa"/>
            <w:shd w:val="clear" w:color="auto" w:fill="DEEBF6"/>
          </w:tcPr>
          <w:p w:rsidR="00DB1E8A" w:rsidRDefault="00DB1E8A">
            <w:pPr>
              <w:rPr>
                <w:sz w:val="18"/>
                <w:szCs w:val="18"/>
              </w:rPr>
            </w:pPr>
          </w:p>
          <w:p w:rsidR="00DB1E8A" w:rsidRDefault="00DB1E8A">
            <w:pPr>
              <w:rPr>
                <w:sz w:val="18"/>
                <w:szCs w:val="18"/>
              </w:rPr>
            </w:pPr>
          </w:p>
          <w:p w:rsidR="00DB1E8A" w:rsidRDefault="003F40AF">
            <w:pPr>
              <w:rPr>
                <w:sz w:val="18"/>
                <w:szCs w:val="18"/>
              </w:rPr>
            </w:pPr>
            <w:r>
              <w:rPr>
                <w:sz w:val="18"/>
                <w:szCs w:val="18"/>
              </w:rPr>
              <w:t>Every student in KS4 will have had at least 3 encounters with e</w:t>
            </w:r>
            <w:r w:rsidR="00AA485C">
              <w:rPr>
                <w:sz w:val="18"/>
                <w:szCs w:val="18"/>
              </w:rPr>
              <w:t xml:space="preserve">mployers both on and off site </w:t>
            </w:r>
            <w:r>
              <w:rPr>
                <w:sz w:val="18"/>
                <w:szCs w:val="18"/>
              </w:rPr>
              <w:t xml:space="preserve">by the end of Year 11. </w:t>
            </w: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DB1E8A">
            <w:pPr>
              <w:rPr>
                <w:sz w:val="18"/>
                <w:szCs w:val="18"/>
              </w:rPr>
            </w:pPr>
          </w:p>
          <w:p w:rsidR="00DB1E8A" w:rsidRDefault="003F40AF">
            <w:pPr>
              <w:rPr>
                <w:sz w:val="18"/>
                <w:szCs w:val="18"/>
              </w:rPr>
            </w:pPr>
            <w:r>
              <w:rPr>
                <w:sz w:val="18"/>
                <w:szCs w:val="18"/>
              </w:rPr>
              <w:t xml:space="preserve">Every student in KS5 will have had a further 3 encounters with employers, both on and off site, by the end of Year 13. </w:t>
            </w:r>
          </w:p>
          <w:p w:rsidR="00DB1E8A" w:rsidRDefault="00DB1E8A">
            <w:pPr>
              <w:rPr>
                <w:sz w:val="18"/>
                <w:szCs w:val="18"/>
              </w:rPr>
            </w:pPr>
          </w:p>
          <w:p w:rsidR="00DB1E8A" w:rsidRDefault="00DB1E8A">
            <w:pPr>
              <w:rPr>
                <w:sz w:val="18"/>
                <w:szCs w:val="18"/>
              </w:rPr>
            </w:pPr>
          </w:p>
          <w:p w:rsidR="00DB1E8A" w:rsidRDefault="00DB1E8A">
            <w:pPr>
              <w:rPr>
                <w:sz w:val="18"/>
                <w:szCs w:val="18"/>
              </w:rPr>
            </w:pPr>
          </w:p>
        </w:tc>
        <w:tc>
          <w:tcPr>
            <w:tcW w:w="2409" w:type="dxa"/>
            <w:shd w:val="clear" w:color="auto" w:fill="DEEBF6"/>
          </w:tcPr>
          <w:p w:rsidR="00DB1E8A" w:rsidRDefault="00DB1E8A">
            <w:pPr>
              <w:rPr>
                <w:sz w:val="18"/>
                <w:szCs w:val="18"/>
              </w:rPr>
            </w:pPr>
          </w:p>
          <w:p w:rsidR="00DB1E8A" w:rsidRDefault="00DB1E8A">
            <w:pPr>
              <w:rPr>
                <w:sz w:val="18"/>
                <w:szCs w:val="18"/>
              </w:rPr>
            </w:pPr>
          </w:p>
          <w:p w:rsidR="00DB1E8A" w:rsidRDefault="003F40AF">
            <w:pPr>
              <w:rPr>
                <w:sz w:val="18"/>
                <w:szCs w:val="18"/>
              </w:rPr>
            </w:pPr>
            <w:r>
              <w:rPr>
                <w:sz w:val="18"/>
                <w:szCs w:val="18"/>
              </w:rPr>
              <w:t>In</w:t>
            </w:r>
            <w:r>
              <w:rPr>
                <w:sz w:val="18"/>
                <w:szCs w:val="18"/>
              </w:rPr>
              <w:t>creased student awareness of career opportunities.</w:t>
            </w:r>
          </w:p>
          <w:p w:rsidR="00DB1E8A" w:rsidRDefault="00DB1E8A">
            <w:pPr>
              <w:rPr>
                <w:sz w:val="18"/>
                <w:szCs w:val="18"/>
              </w:rPr>
            </w:pPr>
          </w:p>
          <w:p w:rsidR="00DB1E8A" w:rsidRDefault="003F40AF">
            <w:pPr>
              <w:rPr>
                <w:sz w:val="18"/>
                <w:szCs w:val="18"/>
              </w:rPr>
            </w:pPr>
            <w:r>
              <w:rPr>
                <w:sz w:val="18"/>
                <w:szCs w:val="18"/>
              </w:rPr>
              <w:t xml:space="preserve">Increase student confidence when undertaking employer encounters. </w:t>
            </w:r>
          </w:p>
          <w:p w:rsidR="00DB1E8A" w:rsidRDefault="00DB1E8A">
            <w:pPr>
              <w:rPr>
                <w:sz w:val="18"/>
                <w:szCs w:val="18"/>
              </w:rPr>
            </w:pPr>
          </w:p>
          <w:p w:rsidR="00DB1E8A" w:rsidRDefault="003F40AF">
            <w:pPr>
              <w:rPr>
                <w:sz w:val="18"/>
                <w:szCs w:val="18"/>
              </w:rPr>
            </w:pPr>
            <w:r>
              <w:rPr>
                <w:sz w:val="18"/>
                <w:szCs w:val="18"/>
              </w:rPr>
              <w:t xml:space="preserve">Increased students awareness of employment skills needed to be successful in the workplace. </w:t>
            </w:r>
          </w:p>
          <w:p w:rsidR="00DB1E8A" w:rsidRDefault="00DB1E8A">
            <w:pPr>
              <w:rPr>
                <w:sz w:val="18"/>
                <w:szCs w:val="18"/>
              </w:rPr>
            </w:pPr>
          </w:p>
          <w:p w:rsidR="00DB1E8A" w:rsidRDefault="003F40AF">
            <w:pPr>
              <w:rPr>
                <w:sz w:val="18"/>
                <w:szCs w:val="18"/>
              </w:rPr>
            </w:pPr>
            <w:r>
              <w:rPr>
                <w:sz w:val="18"/>
                <w:szCs w:val="18"/>
              </w:rPr>
              <w:t xml:space="preserve">Support students in preparing for applications and interviews for employment. </w:t>
            </w:r>
          </w:p>
          <w:p w:rsidR="00DB1E8A" w:rsidRDefault="00DB1E8A">
            <w:pPr>
              <w:rPr>
                <w:sz w:val="18"/>
                <w:szCs w:val="18"/>
              </w:rPr>
            </w:pPr>
          </w:p>
          <w:p w:rsidR="00DB1E8A" w:rsidRDefault="003F40AF">
            <w:pPr>
              <w:rPr>
                <w:sz w:val="18"/>
                <w:szCs w:val="18"/>
              </w:rPr>
            </w:pPr>
            <w:r>
              <w:rPr>
                <w:sz w:val="18"/>
                <w:szCs w:val="18"/>
              </w:rPr>
              <w:t xml:space="preserve">Develop student experience of post 16 and post 18 options through exposure to a range of careers, employers and providers. </w:t>
            </w:r>
          </w:p>
          <w:p w:rsidR="00DB1E8A" w:rsidRDefault="00DB1E8A">
            <w:pPr>
              <w:rPr>
                <w:sz w:val="18"/>
                <w:szCs w:val="18"/>
              </w:rPr>
            </w:pPr>
          </w:p>
          <w:p w:rsidR="00DB1E8A" w:rsidRDefault="003F40AF">
            <w:pPr>
              <w:rPr>
                <w:sz w:val="18"/>
                <w:szCs w:val="18"/>
              </w:rPr>
            </w:pPr>
            <w:r>
              <w:rPr>
                <w:sz w:val="18"/>
                <w:szCs w:val="18"/>
              </w:rPr>
              <w:t xml:space="preserve">Support students in making informed choices at key </w:t>
            </w:r>
            <w:r>
              <w:rPr>
                <w:sz w:val="18"/>
                <w:szCs w:val="18"/>
              </w:rPr>
              <w:t xml:space="preserve">transition points. </w:t>
            </w:r>
          </w:p>
        </w:tc>
        <w:tc>
          <w:tcPr>
            <w:tcW w:w="1701" w:type="dxa"/>
            <w:shd w:val="clear" w:color="auto" w:fill="DEEBF6"/>
          </w:tcPr>
          <w:p w:rsidR="00DB1E8A" w:rsidRPr="00AA485C" w:rsidRDefault="003F40AF">
            <w:pPr>
              <w:numPr>
                <w:ilvl w:val="0"/>
                <w:numId w:val="2"/>
              </w:numPr>
              <w:ind w:left="323"/>
              <w:contextualSpacing/>
              <w:rPr>
                <w:i/>
                <w:sz w:val="16"/>
                <w:szCs w:val="18"/>
              </w:rPr>
            </w:pPr>
            <w:r w:rsidRPr="00AA485C">
              <w:rPr>
                <w:i/>
                <w:sz w:val="16"/>
                <w:szCs w:val="18"/>
              </w:rPr>
              <w:t xml:space="preserve">Work placement for one week in Year 10. </w:t>
            </w:r>
          </w:p>
          <w:p w:rsidR="00DB1E8A" w:rsidRPr="00AA485C" w:rsidRDefault="003F40AF">
            <w:pPr>
              <w:numPr>
                <w:ilvl w:val="0"/>
                <w:numId w:val="2"/>
              </w:numPr>
              <w:ind w:left="323"/>
              <w:contextualSpacing/>
              <w:rPr>
                <w:i/>
                <w:sz w:val="16"/>
                <w:szCs w:val="18"/>
              </w:rPr>
            </w:pPr>
            <w:r w:rsidRPr="00AA485C">
              <w:rPr>
                <w:i/>
                <w:sz w:val="16"/>
                <w:szCs w:val="18"/>
              </w:rPr>
              <w:t>Industry day visits to employers</w:t>
            </w:r>
          </w:p>
          <w:p w:rsidR="00DB1E8A" w:rsidRPr="00AA485C" w:rsidRDefault="003F40AF">
            <w:pPr>
              <w:numPr>
                <w:ilvl w:val="0"/>
                <w:numId w:val="2"/>
              </w:numPr>
              <w:ind w:left="323"/>
              <w:contextualSpacing/>
              <w:rPr>
                <w:i/>
                <w:sz w:val="16"/>
                <w:szCs w:val="18"/>
              </w:rPr>
            </w:pPr>
            <w:r w:rsidRPr="00AA485C">
              <w:rPr>
                <w:i/>
                <w:sz w:val="16"/>
                <w:szCs w:val="18"/>
              </w:rPr>
              <w:t>Careers Speed Networking Day</w:t>
            </w:r>
          </w:p>
          <w:p w:rsidR="00DB1E8A" w:rsidRPr="00AA485C" w:rsidRDefault="003F40AF">
            <w:pPr>
              <w:numPr>
                <w:ilvl w:val="0"/>
                <w:numId w:val="2"/>
              </w:numPr>
              <w:ind w:left="323"/>
              <w:contextualSpacing/>
              <w:rPr>
                <w:i/>
                <w:sz w:val="16"/>
                <w:szCs w:val="18"/>
              </w:rPr>
            </w:pPr>
            <w:r w:rsidRPr="00AA485C">
              <w:rPr>
                <w:i/>
                <w:sz w:val="16"/>
                <w:szCs w:val="18"/>
              </w:rPr>
              <w:t>Logic Careers Fair</w:t>
            </w:r>
          </w:p>
          <w:p w:rsidR="00DB1E8A" w:rsidRPr="00AA485C" w:rsidRDefault="003F40AF">
            <w:pPr>
              <w:numPr>
                <w:ilvl w:val="0"/>
                <w:numId w:val="2"/>
              </w:numPr>
              <w:ind w:left="323"/>
              <w:contextualSpacing/>
              <w:rPr>
                <w:i/>
                <w:sz w:val="16"/>
                <w:szCs w:val="18"/>
              </w:rPr>
            </w:pPr>
            <w:r w:rsidRPr="00AA485C">
              <w:rPr>
                <w:i/>
                <w:sz w:val="16"/>
                <w:szCs w:val="18"/>
              </w:rPr>
              <w:t xml:space="preserve">PBL activities with employers. </w:t>
            </w:r>
          </w:p>
          <w:p w:rsidR="00DB1E8A" w:rsidRPr="00AA485C" w:rsidRDefault="003F40AF">
            <w:pPr>
              <w:numPr>
                <w:ilvl w:val="0"/>
                <w:numId w:val="2"/>
              </w:numPr>
              <w:ind w:left="323"/>
              <w:contextualSpacing/>
              <w:rPr>
                <w:i/>
                <w:sz w:val="16"/>
                <w:szCs w:val="18"/>
              </w:rPr>
            </w:pPr>
            <w:r w:rsidRPr="00AA485C">
              <w:rPr>
                <w:i/>
                <w:sz w:val="16"/>
                <w:szCs w:val="18"/>
              </w:rPr>
              <w:t>Company visits.</w:t>
            </w:r>
          </w:p>
          <w:p w:rsidR="00DB1E8A" w:rsidRPr="00AA485C" w:rsidRDefault="003F40AF">
            <w:pPr>
              <w:numPr>
                <w:ilvl w:val="0"/>
                <w:numId w:val="2"/>
              </w:numPr>
              <w:ind w:left="323"/>
              <w:contextualSpacing/>
              <w:rPr>
                <w:i/>
                <w:sz w:val="16"/>
                <w:szCs w:val="18"/>
              </w:rPr>
            </w:pPr>
            <w:r w:rsidRPr="00AA485C">
              <w:rPr>
                <w:i/>
                <w:sz w:val="16"/>
                <w:szCs w:val="18"/>
              </w:rPr>
              <w:t>Enrichment opportunities</w:t>
            </w:r>
          </w:p>
          <w:p w:rsidR="00DB1E8A" w:rsidRPr="00AA485C" w:rsidRDefault="00DB1E8A">
            <w:pPr>
              <w:rPr>
                <w:i/>
                <w:sz w:val="16"/>
                <w:szCs w:val="18"/>
              </w:rPr>
            </w:pPr>
          </w:p>
          <w:p w:rsidR="00DB1E8A" w:rsidRPr="00AA485C" w:rsidRDefault="00DB1E8A">
            <w:pPr>
              <w:rPr>
                <w:i/>
                <w:sz w:val="16"/>
                <w:szCs w:val="18"/>
              </w:rPr>
            </w:pPr>
          </w:p>
          <w:p w:rsidR="00DB1E8A" w:rsidRPr="00AA485C" w:rsidRDefault="003F40AF">
            <w:pPr>
              <w:numPr>
                <w:ilvl w:val="0"/>
                <w:numId w:val="2"/>
              </w:numPr>
              <w:ind w:left="323"/>
              <w:contextualSpacing/>
              <w:rPr>
                <w:i/>
                <w:sz w:val="16"/>
                <w:szCs w:val="18"/>
              </w:rPr>
            </w:pPr>
            <w:r w:rsidRPr="00AA485C">
              <w:rPr>
                <w:i/>
                <w:sz w:val="16"/>
                <w:szCs w:val="18"/>
              </w:rPr>
              <w:t xml:space="preserve">Work Placement / </w:t>
            </w:r>
            <w:r w:rsidR="00AA485C" w:rsidRPr="00AA485C">
              <w:rPr>
                <w:i/>
                <w:sz w:val="16"/>
                <w:szCs w:val="18"/>
              </w:rPr>
              <w:t>internship opportunities</w:t>
            </w:r>
            <w:r w:rsidRPr="00AA485C">
              <w:rPr>
                <w:i/>
                <w:sz w:val="16"/>
                <w:szCs w:val="18"/>
              </w:rPr>
              <w:t xml:space="preserve"> as part of pathway programme. </w:t>
            </w:r>
          </w:p>
          <w:p w:rsidR="00DB1E8A" w:rsidRPr="00AA485C" w:rsidRDefault="003F40AF">
            <w:pPr>
              <w:numPr>
                <w:ilvl w:val="0"/>
                <w:numId w:val="2"/>
              </w:numPr>
              <w:ind w:left="323"/>
              <w:contextualSpacing/>
              <w:rPr>
                <w:i/>
                <w:sz w:val="16"/>
                <w:szCs w:val="18"/>
              </w:rPr>
            </w:pPr>
            <w:r w:rsidRPr="00AA485C">
              <w:rPr>
                <w:i/>
                <w:sz w:val="16"/>
                <w:szCs w:val="18"/>
              </w:rPr>
              <w:t>Logic Induction programme.</w:t>
            </w:r>
          </w:p>
          <w:p w:rsidR="00DB1E8A" w:rsidRPr="00AA485C" w:rsidRDefault="003F40AF">
            <w:pPr>
              <w:numPr>
                <w:ilvl w:val="0"/>
                <w:numId w:val="2"/>
              </w:numPr>
              <w:ind w:left="323"/>
              <w:contextualSpacing/>
              <w:rPr>
                <w:i/>
                <w:sz w:val="16"/>
                <w:szCs w:val="18"/>
              </w:rPr>
            </w:pPr>
            <w:r w:rsidRPr="00AA485C">
              <w:rPr>
                <w:i/>
                <w:sz w:val="16"/>
                <w:szCs w:val="18"/>
              </w:rPr>
              <w:t>Industry day visits to employers</w:t>
            </w:r>
          </w:p>
          <w:p w:rsidR="00DB1E8A" w:rsidRPr="00AA485C" w:rsidRDefault="003F40AF">
            <w:pPr>
              <w:numPr>
                <w:ilvl w:val="0"/>
                <w:numId w:val="2"/>
              </w:numPr>
              <w:ind w:left="323"/>
              <w:contextualSpacing/>
              <w:rPr>
                <w:i/>
                <w:sz w:val="16"/>
                <w:szCs w:val="18"/>
              </w:rPr>
            </w:pPr>
            <w:r w:rsidRPr="00AA485C">
              <w:rPr>
                <w:i/>
                <w:sz w:val="16"/>
                <w:szCs w:val="18"/>
              </w:rPr>
              <w:t>Logic Careers Fair</w:t>
            </w:r>
          </w:p>
          <w:p w:rsidR="00DB1E8A" w:rsidRPr="00AA485C" w:rsidRDefault="003F40AF">
            <w:pPr>
              <w:numPr>
                <w:ilvl w:val="0"/>
                <w:numId w:val="2"/>
              </w:numPr>
              <w:ind w:left="323"/>
              <w:contextualSpacing/>
              <w:rPr>
                <w:i/>
                <w:sz w:val="16"/>
                <w:szCs w:val="18"/>
              </w:rPr>
            </w:pPr>
            <w:r w:rsidRPr="00AA485C">
              <w:rPr>
                <w:i/>
                <w:sz w:val="16"/>
                <w:szCs w:val="18"/>
              </w:rPr>
              <w:t>PBL activities with employers.</w:t>
            </w:r>
          </w:p>
          <w:p w:rsidR="00DB1E8A" w:rsidRPr="00AA485C" w:rsidRDefault="003F40AF">
            <w:pPr>
              <w:numPr>
                <w:ilvl w:val="0"/>
                <w:numId w:val="2"/>
              </w:numPr>
              <w:ind w:left="323"/>
              <w:contextualSpacing/>
              <w:rPr>
                <w:i/>
                <w:sz w:val="16"/>
                <w:szCs w:val="18"/>
              </w:rPr>
            </w:pPr>
            <w:r w:rsidRPr="00AA485C">
              <w:rPr>
                <w:i/>
                <w:sz w:val="16"/>
                <w:szCs w:val="18"/>
              </w:rPr>
              <w:t>Company visits.</w:t>
            </w:r>
          </w:p>
          <w:p w:rsidR="00DB1E8A" w:rsidRPr="00AA485C" w:rsidRDefault="003F40AF">
            <w:pPr>
              <w:numPr>
                <w:ilvl w:val="0"/>
                <w:numId w:val="2"/>
              </w:numPr>
              <w:ind w:left="323"/>
              <w:contextualSpacing/>
              <w:rPr>
                <w:i/>
                <w:sz w:val="16"/>
                <w:szCs w:val="18"/>
              </w:rPr>
            </w:pPr>
            <w:r w:rsidRPr="00AA485C">
              <w:rPr>
                <w:i/>
                <w:sz w:val="16"/>
                <w:szCs w:val="18"/>
              </w:rPr>
              <w:t>Logic Transition Week.</w:t>
            </w:r>
          </w:p>
          <w:p w:rsidR="00DB1E8A" w:rsidRPr="00AA485C" w:rsidRDefault="003F40AF">
            <w:pPr>
              <w:numPr>
                <w:ilvl w:val="0"/>
                <w:numId w:val="2"/>
              </w:numPr>
              <w:ind w:left="323"/>
              <w:contextualSpacing/>
              <w:rPr>
                <w:i/>
                <w:sz w:val="16"/>
                <w:szCs w:val="18"/>
              </w:rPr>
            </w:pPr>
            <w:r w:rsidRPr="00AA485C">
              <w:rPr>
                <w:i/>
                <w:sz w:val="16"/>
                <w:szCs w:val="18"/>
              </w:rPr>
              <w:t>Y13 Logic Transition programme</w:t>
            </w:r>
          </w:p>
          <w:p w:rsidR="00DB1E8A" w:rsidRPr="00AA485C" w:rsidRDefault="003F40AF">
            <w:pPr>
              <w:numPr>
                <w:ilvl w:val="0"/>
                <w:numId w:val="2"/>
              </w:numPr>
              <w:ind w:left="323"/>
              <w:contextualSpacing/>
              <w:rPr>
                <w:i/>
                <w:sz w:val="16"/>
                <w:szCs w:val="18"/>
              </w:rPr>
            </w:pPr>
            <w:r w:rsidRPr="00AA485C">
              <w:rPr>
                <w:i/>
                <w:sz w:val="16"/>
                <w:szCs w:val="18"/>
              </w:rPr>
              <w:t>Enrichment opportunities</w:t>
            </w:r>
          </w:p>
          <w:p w:rsidR="00DB1E8A" w:rsidRPr="00AA485C" w:rsidRDefault="003F40AF">
            <w:pPr>
              <w:numPr>
                <w:ilvl w:val="0"/>
                <w:numId w:val="2"/>
              </w:numPr>
              <w:ind w:left="323"/>
              <w:contextualSpacing/>
              <w:rPr>
                <w:i/>
                <w:sz w:val="16"/>
                <w:szCs w:val="18"/>
              </w:rPr>
            </w:pPr>
            <w:r w:rsidRPr="00AA485C">
              <w:rPr>
                <w:i/>
                <w:sz w:val="16"/>
                <w:szCs w:val="18"/>
              </w:rPr>
              <w:t>Mentoring opport</w:t>
            </w:r>
            <w:r w:rsidRPr="00AA485C">
              <w:rPr>
                <w:i/>
                <w:sz w:val="16"/>
                <w:szCs w:val="18"/>
              </w:rPr>
              <w:t>unities</w:t>
            </w:r>
          </w:p>
        </w:tc>
        <w:tc>
          <w:tcPr>
            <w:tcW w:w="1276" w:type="dxa"/>
            <w:shd w:val="clear" w:color="auto" w:fill="DEEBF6"/>
          </w:tcPr>
          <w:p w:rsidR="00DB1E8A" w:rsidRDefault="00DB1E8A">
            <w:pPr>
              <w:rPr>
                <w:i/>
                <w:sz w:val="18"/>
                <w:szCs w:val="18"/>
              </w:rPr>
            </w:pPr>
          </w:p>
          <w:p w:rsidR="00DB1E8A" w:rsidRDefault="003F40AF">
            <w:pPr>
              <w:rPr>
                <w:i/>
                <w:sz w:val="18"/>
                <w:szCs w:val="18"/>
              </w:rPr>
            </w:pPr>
            <w:r>
              <w:rPr>
                <w:i/>
                <w:sz w:val="18"/>
                <w:szCs w:val="18"/>
              </w:rPr>
              <w:t>Careers Lead / EE team</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Careers Lead / EE team</w:t>
            </w:r>
          </w:p>
        </w:tc>
        <w:tc>
          <w:tcPr>
            <w:tcW w:w="1418" w:type="dxa"/>
            <w:shd w:val="clear" w:color="auto" w:fill="DEEBF6"/>
          </w:tcPr>
          <w:p w:rsidR="00DB1E8A" w:rsidRDefault="00DB1E8A">
            <w:pPr>
              <w:rPr>
                <w:i/>
                <w:sz w:val="18"/>
                <w:szCs w:val="18"/>
              </w:rPr>
            </w:pPr>
          </w:p>
          <w:p w:rsidR="00DB1E8A" w:rsidRDefault="003F40AF">
            <w:pPr>
              <w:rPr>
                <w:i/>
                <w:sz w:val="18"/>
                <w:szCs w:val="18"/>
              </w:rPr>
            </w:pPr>
            <w:r>
              <w:rPr>
                <w:i/>
                <w:sz w:val="18"/>
                <w:szCs w:val="18"/>
              </w:rPr>
              <w:t>Ongoing but planned by Sept 2018</w:t>
            </w: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DB1E8A">
            <w:pPr>
              <w:rPr>
                <w:i/>
                <w:sz w:val="18"/>
                <w:szCs w:val="18"/>
              </w:rPr>
            </w:pPr>
          </w:p>
          <w:p w:rsidR="00DB1E8A" w:rsidRDefault="003F40AF">
            <w:pPr>
              <w:rPr>
                <w:i/>
                <w:sz w:val="18"/>
                <w:szCs w:val="18"/>
              </w:rPr>
            </w:pPr>
            <w:r>
              <w:rPr>
                <w:i/>
                <w:sz w:val="18"/>
                <w:szCs w:val="18"/>
              </w:rPr>
              <w:t>Ongoing but planned by Sept 2018</w:t>
            </w:r>
          </w:p>
        </w:tc>
      </w:tr>
    </w:tbl>
    <w:p w:rsidR="00DB1E8A" w:rsidRDefault="00DB1E8A"/>
    <w:sectPr w:rsidR="00DB1E8A" w:rsidSect="00AA485C">
      <w:headerReference w:type="default" r:id="rId7"/>
      <w:pgSz w:w="16840" w:h="11907" w:orient="landscape"/>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0AF" w:rsidRDefault="003F40AF">
      <w:pPr>
        <w:spacing w:after="0" w:line="240" w:lineRule="auto"/>
      </w:pPr>
      <w:r>
        <w:separator/>
      </w:r>
    </w:p>
  </w:endnote>
  <w:endnote w:type="continuationSeparator" w:id="0">
    <w:p w:rsidR="003F40AF" w:rsidRDefault="003F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0AF" w:rsidRDefault="003F40AF">
      <w:pPr>
        <w:spacing w:after="0" w:line="240" w:lineRule="auto"/>
      </w:pPr>
      <w:r>
        <w:separator/>
      </w:r>
    </w:p>
  </w:footnote>
  <w:footnote w:type="continuationSeparator" w:id="0">
    <w:p w:rsidR="003F40AF" w:rsidRDefault="003F4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E8A" w:rsidRDefault="003F40AF">
    <w:pPr>
      <w:rPr>
        <w:sz w:val="44"/>
        <w:szCs w:val="44"/>
      </w:rPr>
    </w:pPr>
    <w:r>
      <w:rPr>
        <w:sz w:val="44"/>
        <w:szCs w:val="44"/>
      </w:rPr>
      <w:t xml:space="preserve">Logic Studio School </w:t>
    </w:r>
    <w:r w:rsidR="00AA485C">
      <w:rPr>
        <w:sz w:val="44"/>
        <w:szCs w:val="44"/>
      </w:rPr>
      <w:t>–</w:t>
    </w:r>
    <w:r>
      <w:rPr>
        <w:sz w:val="44"/>
        <w:szCs w:val="44"/>
      </w:rPr>
      <w:t xml:space="preserve"> </w:t>
    </w:r>
    <w:r w:rsidR="00AA485C">
      <w:rPr>
        <w:sz w:val="44"/>
        <w:szCs w:val="44"/>
      </w:rPr>
      <w:t>Careers Strategy 2018-2019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0390"/>
    <w:multiLevelType w:val="multilevel"/>
    <w:tmpl w:val="D68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A9085B"/>
    <w:multiLevelType w:val="multilevel"/>
    <w:tmpl w:val="7708E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8A"/>
    <w:rsid w:val="000D7BCB"/>
    <w:rsid w:val="003F40AF"/>
    <w:rsid w:val="00AA485C"/>
    <w:rsid w:val="00DB1E8A"/>
    <w:rsid w:val="00DD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0B9D"/>
  <w15:docId w15:val="{31CCB268-06ED-41A2-9D1E-5299B681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A4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85C"/>
  </w:style>
  <w:style w:type="paragraph" w:styleId="Footer">
    <w:name w:val="footer"/>
    <w:basedOn w:val="Normal"/>
    <w:link w:val="FooterChar"/>
    <w:uiPriority w:val="99"/>
    <w:unhideWhenUsed/>
    <w:rsid w:val="00AA4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75713E13</Template>
  <TotalTime>0</TotalTime>
  <Pages>1</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Logic Studio School</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Cadogan (Logic Studio School)</dc:creator>
  <cp:lastModifiedBy>J Cadogan (Logic Studio School)</cp:lastModifiedBy>
  <cp:revision>2</cp:revision>
  <dcterms:created xsi:type="dcterms:W3CDTF">2018-07-12T13:09:00Z</dcterms:created>
  <dcterms:modified xsi:type="dcterms:W3CDTF">2018-07-12T13:09:00Z</dcterms:modified>
</cp:coreProperties>
</file>