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7" w:type="dxa"/>
        <w:tblInd w:w="5513"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4537"/>
      </w:tblGrid>
      <w:tr w:rsidR="00A61947" w:rsidTr="008D4B32">
        <w:trPr>
          <w:trHeight w:val="107"/>
        </w:trPr>
        <w:tc>
          <w:tcPr>
            <w:tcW w:w="4537" w:type="dxa"/>
            <w:shd w:val="clear" w:color="auto" w:fill="211D70"/>
            <w:vAlign w:val="center"/>
          </w:tcPr>
          <w:p w:rsidR="00A61947" w:rsidRPr="00EF587D" w:rsidRDefault="00A61947" w:rsidP="008D4B32">
            <w:pPr>
              <w:pStyle w:val="Header"/>
              <w:tabs>
                <w:tab w:val="clear" w:pos="4513"/>
                <w:tab w:val="clear" w:pos="9026"/>
                <w:tab w:val="right" w:pos="9923"/>
              </w:tabs>
              <w:spacing w:line="276" w:lineRule="auto"/>
              <w:rPr>
                <w:rFonts w:ascii="Arial" w:hAnsi="Arial" w:cs="Arial"/>
                <w:color w:val="FFFFFF" w:themeColor="background1"/>
                <w:sz w:val="28"/>
                <w:szCs w:val="28"/>
              </w:rPr>
            </w:pPr>
            <w:r w:rsidRPr="00EF587D">
              <w:rPr>
                <w:rFonts w:ascii="Arial" w:hAnsi="Arial" w:cs="Arial"/>
                <w:color w:val="FFFFFF" w:themeColor="background1"/>
                <w:sz w:val="28"/>
                <w:szCs w:val="28"/>
              </w:rPr>
              <w:t>ACCESSABILITY POLICY</w:t>
            </w:r>
          </w:p>
        </w:tc>
      </w:tr>
      <w:tr w:rsidR="00A61947" w:rsidTr="008D4B32">
        <w:trPr>
          <w:trHeight w:val="379"/>
        </w:trPr>
        <w:tc>
          <w:tcPr>
            <w:tcW w:w="4537" w:type="dxa"/>
            <w:vAlign w:val="center"/>
          </w:tcPr>
          <w:p w:rsidR="00A61947" w:rsidRPr="00DF311B" w:rsidRDefault="00F42E17" w:rsidP="008D4B32">
            <w:pPr>
              <w:pStyle w:val="Header"/>
              <w:tabs>
                <w:tab w:val="clear" w:pos="4513"/>
                <w:tab w:val="clear" w:pos="9026"/>
                <w:tab w:val="right" w:pos="9923"/>
              </w:tabs>
              <w:spacing w:line="276" w:lineRule="auto"/>
              <w:rPr>
                <w:rFonts w:ascii="Arial" w:hAnsi="Arial" w:cs="Arial"/>
                <w:i/>
                <w:sz w:val="22"/>
                <w:szCs w:val="22"/>
              </w:rPr>
            </w:pPr>
            <w:r>
              <w:rPr>
                <w:rFonts w:ascii="Arial" w:hAnsi="Arial" w:cs="Arial"/>
                <w:sz w:val="22"/>
                <w:szCs w:val="22"/>
              </w:rPr>
              <w:t>2</w:t>
            </w:r>
            <w:r w:rsidR="007165B9">
              <w:rPr>
                <w:rFonts w:ascii="Arial" w:hAnsi="Arial" w:cs="Arial"/>
                <w:sz w:val="22"/>
                <w:szCs w:val="22"/>
              </w:rPr>
              <w:t>018-21</w:t>
            </w:r>
          </w:p>
        </w:tc>
      </w:tr>
    </w:tbl>
    <w:p w:rsidR="00F70BBF" w:rsidRPr="00F70BBF" w:rsidRDefault="00F70BBF" w:rsidP="00A61947">
      <w:pPr>
        <w:jc w:val="center"/>
        <w:rPr>
          <w:rFonts w:ascii="Arial" w:eastAsia="Calibri" w:hAnsi="Arial" w:cs="Arial"/>
          <w:color w:val="auto"/>
          <w:kern w:val="0"/>
          <w:sz w:val="24"/>
          <w:szCs w:val="22"/>
          <w:lang w:val="en-US" w:eastAsia="en-US"/>
        </w:rPr>
      </w:pPr>
    </w:p>
    <w:p w:rsidR="00F70BBF" w:rsidRPr="003523DB" w:rsidRDefault="00F70BBF" w:rsidP="00F70BBF">
      <w:pPr>
        <w:rPr>
          <w:rFonts w:asciiTheme="minorHAnsi" w:eastAsia="Calibri" w:hAnsiTheme="minorHAnsi" w:cstheme="minorHAnsi"/>
          <w:color w:val="211D70"/>
          <w:kern w:val="0"/>
          <w:sz w:val="24"/>
          <w:szCs w:val="24"/>
          <w:lang w:val="en-US" w:eastAsia="en-US"/>
        </w:rPr>
      </w:pPr>
    </w:p>
    <w:tbl>
      <w:tblPr>
        <w:tblStyle w:val="TableGrid"/>
        <w:tblpPr w:leftFromText="180" w:rightFromText="180" w:horzAnchor="margin" w:tblpY="1530"/>
        <w:tblW w:w="10060"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5514"/>
        <w:gridCol w:w="4546"/>
      </w:tblGrid>
      <w:tr w:rsidR="00A45A5A" w:rsidRPr="003523DB" w:rsidTr="008B0685">
        <w:trPr>
          <w:trHeight w:val="551"/>
        </w:trPr>
        <w:tc>
          <w:tcPr>
            <w:tcW w:w="5514" w:type="dxa"/>
          </w:tcPr>
          <w:p w:rsidR="00F70BBF" w:rsidRDefault="008B0685" w:rsidP="008B0685">
            <w:pPr>
              <w:rPr>
                <w:rFonts w:asciiTheme="minorHAnsi" w:eastAsiaTheme="minorHAnsi" w:hAnsiTheme="minorHAnsi" w:cstheme="minorHAnsi"/>
                <w:color w:val="211D70"/>
                <w:kern w:val="0"/>
                <w:sz w:val="24"/>
                <w:szCs w:val="24"/>
                <w:lang w:eastAsia="en-US"/>
              </w:rPr>
            </w:pPr>
            <w:r w:rsidRPr="003523DB">
              <w:rPr>
                <w:rFonts w:asciiTheme="minorHAnsi" w:eastAsiaTheme="minorHAnsi" w:hAnsiTheme="minorHAnsi" w:cstheme="minorHAnsi"/>
                <w:color w:val="211D70"/>
                <w:kern w:val="0"/>
                <w:sz w:val="24"/>
                <w:szCs w:val="24"/>
                <w:lang w:eastAsia="en-US"/>
              </w:rPr>
              <w:t xml:space="preserve">Principal: </w:t>
            </w:r>
          </w:p>
          <w:p w:rsidR="008B0685" w:rsidRPr="003523DB" w:rsidRDefault="008B0685" w:rsidP="008B0685">
            <w:pPr>
              <w:rPr>
                <w:rFonts w:asciiTheme="minorHAnsi" w:eastAsiaTheme="minorHAnsi" w:hAnsiTheme="minorHAnsi" w:cstheme="minorHAnsi"/>
                <w:color w:val="211D70"/>
                <w:kern w:val="0"/>
                <w:sz w:val="24"/>
                <w:szCs w:val="24"/>
                <w:lang w:eastAsia="en-US"/>
              </w:rPr>
            </w:pPr>
          </w:p>
        </w:tc>
        <w:tc>
          <w:tcPr>
            <w:tcW w:w="4546" w:type="dxa"/>
          </w:tcPr>
          <w:p w:rsidR="00F70BBF" w:rsidRPr="00F42E17" w:rsidRDefault="00F42E17" w:rsidP="008B0685">
            <w:pPr>
              <w:rPr>
                <w:rFonts w:asciiTheme="minorHAnsi" w:eastAsiaTheme="minorHAnsi" w:hAnsiTheme="minorHAnsi" w:cstheme="minorHAnsi"/>
                <w:color w:val="211D70"/>
                <w:kern w:val="0"/>
                <w:sz w:val="24"/>
                <w:szCs w:val="24"/>
                <w:lang w:eastAsia="en-US"/>
              </w:rPr>
            </w:pPr>
            <w:r w:rsidRPr="00F42E17">
              <w:rPr>
                <w:rFonts w:asciiTheme="minorHAnsi" w:eastAsiaTheme="minorHAnsi" w:hAnsiTheme="minorHAnsi" w:cstheme="minorHAnsi"/>
                <w:color w:val="auto"/>
                <w:kern w:val="0"/>
                <w:sz w:val="24"/>
                <w:szCs w:val="24"/>
                <w:lang w:eastAsia="en-US"/>
              </w:rPr>
              <w:t>JAY LOCKWOOD</w:t>
            </w:r>
          </w:p>
        </w:tc>
      </w:tr>
      <w:tr w:rsidR="00A45A5A" w:rsidRPr="003523DB" w:rsidTr="008B0685">
        <w:trPr>
          <w:trHeight w:val="559"/>
        </w:trPr>
        <w:tc>
          <w:tcPr>
            <w:tcW w:w="5514" w:type="dxa"/>
          </w:tcPr>
          <w:p w:rsidR="00F70BBF" w:rsidRPr="003523DB" w:rsidRDefault="00F70BBF" w:rsidP="008B0685">
            <w:pPr>
              <w:rPr>
                <w:rFonts w:asciiTheme="minorHAnsi" w:eastAsiaTheme="minorHAnsi" w:hAnsiTheme="minorHAnsi" w:cstheme="minorHAnsi"/>
                <w:color w:val="211D70"/>
                <w:kern w:val="0"/>
                <w:sz w:val="24"/>
                <w:szCs w:val="24"/>
                <w:lang w:eastAsia="en-US"/>
              </w:rPr>
            </w:pPr>
            <w:r w:rsidRPr="003523DB">
              <w:rPr>
                <w:rFonts w:asciiTheme="minorHAnsi" w:eastAsiaTheme="minorHAnsi" w:hAnsiTheme="minorHAnsi" w:cstheme="minorHAnsi"/>
                <w:color w:val="211D70"/>
                <w:kern w:val="0"/>
                <w:sz w:val="24"/>
                <w:szCs w:val="24"/>
                <w:lang w:eastAsia="en-US"/>
              </w:rPr>
              <w:t>Date Approved:</w:t>
            </w:r>
            <w:r w:rsidR="00DB16E7" w:rsidRPr="003523DB">
              <w:rPr>
                <w:rFonts w:asciiTheme="minorHAnsi" w:eastAsiaTheme="minorHAnsi" w:hAnsiTheme="minorHAnsi" w:cstheme="minorHAnsi"/>
                <w:color w:val="211D70"/>
                <w:kern w:val="0"/>
                <w:sz w:val="24"/>
                <w:szCs w:val="24"/>
                <w:lang w:eastAsia="en-US"/>
              </w:rPr>
              <w:t xml:space="preserve"> </w:t>
            </w:r>
          </w:p>
        </w:tc>
        <w:tc>
          <w:tcPr>
            <w:tcW w:w="4546" w:type="dxa"/>
          </w:tcPr>
          <w:p w:rsidR="00A86826" w:rsidRPr="003523DB" w:rsidRDefault="00BC281A" w:rsidP="008B0685">
            <w:pPr>
              <w:rPr>
                <w:rFonts w:asciiTheme="minorHAnsi" w:eastAsiaTheme="minorHAnsi" w:hAnsiTheme="minorHAnsi" w:cstheme="minorHAnsi"/>
                <w:color w:val="211D70"/>
                <w:kern w:val="0"/>
                <w:sz w:val="24"/>
                <w:szCs w:val="24"/>
                <w:lang w:eastAsia="en-US"/>
              </w:rPr>
            </w:pPr>
            <w:r>
              <w:rPr>
                <w:rFonts w:asciiTheme="minorHAnsi" w:eastAsiaTheme="minorHAnsi" w:hAnsiTheme="minorHAnsi" w:cstheme="minorHAnsi"/>
                <w:color w:val="211D70"/>
                <w:kern w:val="0"/>
                <w:sz w:val="24"/>
                <w:szCs w:val="24"/>
                <w:lang w:eastAsia="en-US"/>
              </w:rPr>
              <w:t>Autumn 2018</w:t>
            </w:r>
          </w:p>
          <w:p w:rsidR="00F70BBF" w:rsidRPr="003523DB" w:rsidRDefault="00F70BBF" w:rsidP="008B0685">
            <w:pPr>
              <w:rPr>
                <w:rFonts w:asciiTheme="minorHAnsi" w:eastAsiaTheme="minorHAnsi" w:hAnsiTheme="minorHAnsi" w:cstheme="minorHAnsi"/>
                <w:color w:val="211D70"/>
                <w:kern w:val="0"/>
                <w:sz w:val="24"/>
                <w:szCs w:val="24"/>
                <w:lang w:eastAsia="en-US"/>
              </w:rPr>
            </w:pPr>
            <w:r w:rsidRPr="003523DB">
              <w:rPr>
                <w:rFonts w:asciiTheme="minorHAnsi" w:eastAsiaTheme="minorHAnsi" w:hAnsiTheme="minorHAnsi" w:cstheme="minorHAnsi"/>
                <w:color w:val="211D70"/>
                <w:kern w:val="0"/>
                <w:sz w:val="24"/>
                <w:szCs w:val="24"/>
                <w:lang w:eastAsia="en-US"/>
              </w:rPr>
              <w:t>.</w:t>
            </w:r>
          </w:p>
        </w:tc>
      </w:tr>
      <w:tr w:rsidR="00A45A5A" w:rsidRPr="003523DB" w:rsidTr="008B0685">
        <w:trPr>
          <w:trHeight w:val="554"/>
        </w:trPr>
        <w:tc>
          <w:tcPr>
            <w:tcW w:w="5514" w:type="dxa"/>
          </w:tcPr>
          <w:p w:rsidR="00F70BBF" w:rsidRPr="003523DB" w:rsidRDefault="00F70BBF" w:rsidP="00F42E17">
            <w:pPr>
              <w:rPr>
                <w:rFonts w:asciiTheme="minorHAnsi" w:eastAsiaTheme="minorHAnsi" w:hAnsiTheme="minorHAnsi" w:cstheme="minorHAnsi"/>
                <w:color w:val="211D70"/>
                <w:kern w:val="0"/>
                <w:sz w:val="24"/>
                <w:szCs w:val="24"/>
                <w:lang w:eastAsia="en-US"/>
              </w:rPr>
            </w:pPr>
            <w:r w:rsidRPr="003523DB">
              <w:rPr>
                <w:rFonts w:asciiTheme="minorHAnsi" w:eastAsiaTheme="minorHAnsi" w:hAnsiTheme="minorHAnsi" w:cstheme="minorHAnsi"/>
                <w:color w:val="211D70"/>
                <w:kern w:val="0"/>
                <w:sz w:val="24"/>
                <w:szCs w:val="24"/>
                <w:lang w:eastAsia="en-US"/>
              </w:rPr>
              <w:t>Date of Review:</w:t>
            </w:r>
            <w:r w:rsidR="00DB16E7" w:rsidRPr="003523DB">
              <w:rPr>
                <w:rFonts w:asciiTheme="minorHAnsi" w:eastAsiaTheme="minorHAnsi" w:hAnsiTheme="minorHAnsi" w:cstheme="minorHAnsi"/>
                <w:color w:val="211D70"/>
                <w:kern w:val="0"/>
                <w:sz w:val="24"/>
                <w:szCs w:val="24"/>
                <w:lang w:eastAsia="en-US"/>
              </w:rPr>
              <w:t xml:space="preserve"> </w:t>
            </w:r>
          </w:p>
        </w:tc>
        <w:tc>
          <w:tcPr>
            <w:tcW w:w="4546" w:type="dxa"/>
          </w:tcPr>
          <w:p w:rsidR="00F70BBF" w:rsidRPr="00F42E17" w:rsidRDefault="00BC281A" w:rsidP="008B0685">
            <w:pPr>
              <w:rPr>
                <w:rFonts w:asciiTheme="minorHAnsi" w:eastAsiaTheme="minorHAnsi" w:hAnsiTheme="minorHAnsi" w:cstheme="minorHAnsi"/>
                <w:color w:val="211D70"/>
                <w:kern w:val="0"/>
                <w:sz w:val="24"/>
                <w:szCs w:val="24"/>
                <w:lang w:eastAsia="en-US"/>
              </w:rPr>
            </w:pPr>
            <w:r>
              <w:rPr>
                <w:rFonts w:asciiTheme="minorHAnsi" w:eastAsiaTheme="minorHAnsi" w:hAnsiTheme="minorHAnsi" w:cstheme="minorHAnsi"/>
                <w:color w:val="auto"/>
                <w:kern w:val="0"/>
                <w:sz w:val="24"/>
                <w:szCs w:val="24"/>
                <w:lang w:eastAsia="en-US"/>
              </w:rPr>
              <w:t>Every 3 years but may be updated more frequently</w:t>
            </w:r>
          </w:p>
        </w:tc>
      </w:tr>
    </w:tbl>
    <w:p w:rsidR="00F70BBF" w:rsidRPr="003523DB" w:rsidRDefault="00F70BBF" w:rsidP="00F70BBF">
      <w:pPr>
        <w:rPr>
          <w:rFonts w:asciiTheme="minorHAnsi" w:eastAsia="Calibri" w:hAnsiTheme="minorHAnsi" w:cstheme="minorHAnsi"/>
          <w:color w:val="FF0000"/>
          <w:kern w:val="0"/>
          <w:sz w:val="24"/>
          <w:szCs w:val="24"/>
          <w:lang w:val="en-US" w:eastAsia="en-US"/>
        </w:rPr>
      </w:pPr>
    </w:p>
    <w:p w:rsidR="008B0685" w:rsidRDefault="008B0685" w:rsidP="003523DB">
      <w:pPr>
        <w:rPr>
          <w:rFonts w:asciiTheme="minorHAnsi" w:hAnsiTheme="minorHAnsi" w:cstheme="minorHAnsi"/>
          <w:b/>
          <w:sz w:val="24"/>
          <w:szCs w:val="24"/>
        </w:rPr>
      </w:pPr>
    </w:p>
    <w:p w:rsidR="008B0685" w:rsidRDefault="008B0685" w:rsidP="003523DB">
      <w:pPr>
        <w:rPr>
          <w:rFonts w:asciiTheme="minorHAnsi" w:hAnsiTheme="minorHAnsi" w:cstheme="minorHAnsi"/>
          <w:b/>
          <w:sz w:val="24"/>
          <w:szCs w:val="24"/>
        </w:rPr>
      </w:pPr>
      <w:bookmarkStart w:id="0" w:name="_GoBack"/>
      <w:bookmarkEnd w:id="0"/>
    </w:p>
    <w:p w:rsidR="008B0685" w:rsidRDefault="008B0685" w:rsidP="003523DB">
      <w:pPr>
        <w:rPr>
          <w:rFonts w:asciiTheme="minorHAnsi" w:hAnsiTheme="minorHAnsi" w:cstheme="minorHAnsi"/>
          <w:b/>
          <w:sz w:val="24"/>
          <w:szCs w:val="24"/>
        </w:rPr>
      </w:pPr>
    </w:p>
    <w:p w:rsidR="008B0685" w:rsidRDefault="008B0685" w:rsidP="003523DB">
      <w:pPr>
        <w:rPr>
          <w:rFonts w:asciiTheme="minorHAnsi" w:hAnsiTheme="minorHAnsi" w:cstheme="minorHAnsi"/>
          <w:b/>
          <w:sz w:val="24"/>
          <w:szCs w:val="24"/>
        </w:rPr>
      </w:pPr>
    </w:p>
    <w:p w:rsidR="008B0685" w:rsidRDefault="008B0685" w:rsidP="003523DB">
      <w:pPr>
        <w:rPr>
          <w:rFonts w:asciiTheme="minorHAnsi" w:hAnsiTheme="minorHAnsi" w:cstheme="minorHAnsi"/>
          <w:b/>
          <w:sz w:val="24"/>
          <w:szCs w:val="24"/>
        </w:rPr>
      </w:pPr>
    </w:p>
    <w:p w:rsidR="003523DB" w:rsidRPr="003523DB" w:rsidRDefault="003523DB" w:rsidP="003523DB">
      <w:pPr>
        <w:rPr>
          <w:rFonts w:asciiTheme="minorHAnsi" w:hAnsiTheme="minorHAnsi" w:cstheme="minorHAnsi"/>
          <w:b/>
          <w:color w:val="auto"/>
          <w:kern w:val="0"/>
          <w:sz w:val="24"/>
          <w:szCs w:val="24"/>
        </w:rPr>
      </w:pPr>
      <w:r w:rsidRPr="003523DB">
        <w:rPr>
          <w:rFonts w:asciiTheme="minorHAnsi" w:hAnsiTheme="minorHAnsi" w:cstheme="minorHAnsi"/>
          <w:b/>
          <w:sz w:val="24"/>
          <w:szCs w:val="24"/>
        </w:rPr>
        <w:t>Contents</w:t>
      </w:r>
    </w:p>
    <w:p w:rsidR="003523DB" w:rsidRPr="003523DB" w:rsidRDefault="003523DB" w:rsidP="003523DB">
      <w:pPr>
        <w:pStyle w:val="TOC1"/>
        <w:rPr>
          <w:rFonts w:asciiTheme="minorHAnsi" w:eastAsia="Times New Roman" w:hAnsiTheme="minorHAnsi" w:cstheme="minorHAnsi"/>
          <w:noProof/>
          <w:sz w:val="24"/>
          <w:lang w:val="en-GB" w:eastAsia="en-GB"/>
        </w:rPr>
      </w:pPr>
      <w:r w:rsidRPr="003523DB">
        <w:rPr>
          <w:rFonts w:asciiTheme="minorHAnsi" w:hAnsiTheme="minorHAnsi" w:cstheme="minorHAnsi"/>
          <w:sz w:val="24"/>
        </w:rPr>
        <w:fldChar w:fldCharType="begin"/>
      </w:r>
      <w:r w:rsidRPr="003523DB">
        <w:rPr>
          <w:rFonts w:asciiTheme="minorHAnsi" w:hAnsiTheme="minorHAnsi" w:cstheme="minorHAnsi"/>
          <w:sz w:val="24"/>
        </w:rPr>
        <w:instrText xml:space="preserve"> TOC \o "2-2" \t "Heading 1,1" </w:instrText>
      </w:r>
      <w:r w:rsidRPr="003523DB">
        <w:rPr>
          <w:rFonts w:asciiTheme="minorHAnsi" w:hAnsiTheme="minorHAnsi" w:cstheme="minorHAnsi"/>
          <w:sz w:val="24"/>
        </w:rPr>
        <w:fldChar w:fldCharType="separate"/>
      </w:r>
      <w:r w:rsidRPr="003523DB">
        <w:rPr>
          <w:rFonts w:asciiTheme="minorHAnsi" w:hAnsiTheme="minorHAnsi" w:cstheme="minorHAnsi"/>
          <w:noProof/>
          <w:sz w:val="24"/>
        </w:rPr>
        <w:t>1. Aims</w:t>
      </w:r>
      <w:r w:rsidRPr="003523DB">
        <w:rPr>
          <w:rFonts w:asciiTheme="minorHAnsi" w:hAnsiTheme="minorHAnsi" w:cstheme="minorHAnsi"/>
          <w:noProof/>
          <w:sz w:val="24"/>
        </w:rPr>
        <w:tab/>
      </w:r>
      <w:r w:rsidRPr="003523DB">
        <w:rPr>
          <w:rFonts w:asciiTheme="minorHAnsi" w:hAnsiTheme="minorHAnsi" w:cstheme="minorHAnsi"/>
          <w:noProof/>
          <w:sz w:val="24"/>
        </w:rPr>
        <w:fldChar w:fldCharType="begin"/>
      </w:r>
      <w:r w:rsidRPr="003523DB">
        <w:rPr>
          <w:rFonts w:asciiTheme="minorHAnsi" w:hAnsiTheme="minorHAnsi" w:cstheme="minorHAnsi"/>
          <w:noProof/>
          <w:sz w:val="24"/>
        </w:rPr>
        <w:instrText xml:space="preserve"> PAGEREF _Toc491429308 \h </w:instrText>
      </w:r>
      <w:r w:rsidRPr="003523DB">
        <w:rPr>
          <w:rFonts w:asciiTheme="minorHAnsi" w:hAnsiTheme="minorHAnsi" w:cstheme="minorHAnsi"/>
          <w:noProof/>
          <w:sz w:val="24"/>
        </w:rPr>
      </w:r>
      <w:r w:rsidRPr="003523DB">
        <w:rPr>
          <w:rFonts w:asciiTheme="minorHAnsi" w:hAnsiTheme="minorHAnsi" w:cstheme="minorHAnsi"/>
          <w:noProof/>
          <w:sz w:val="24"/>
        </w:rPr>
        <w:fldChar w:fldCharType="separate"/>
      </w:r>
      <w:r w:rsidR="00E30B92">
        <w:rPr>
          <w:rFonts w:asciiTheme="minorHAnsi" w:hAnsiTheme="minorHAnsi" w:cstheme="minorHAnsi"/>
          <w:noProof/>
          <w:sz w:val="24"/>
        </w:rPr>
        <w:t>1</w:t>
      </w:r>
      <w:r w:rsidRPr="003523DB">
        <w:rPr>
          <w:rFonts w:asciiTheme="minorHAnsi" w:hAnsiTheme="minorHAnsi" w:cstheme="minorHAnsi"/>
          <w:noProof/>
          <w:sz w:val="24"/>
        </w:rPr>
        <w:fldChar w:fldCharType="end"/>
      </w:r>
    </w:p>
    <w:p w:rsidR="003523DB" w:rsidRPr="003523DB" w:rsidRDefault="003523DB" w:rsidP="003523DB">
      <w:pPr>
        <w:pStyle w:val="TOC1"/>
        <w:rPr>
          <w:rFonts w:asciiTheme="minorHAnsi" w:eastAsia="Times New Roman" w:hAnsiTheme="minorHAnsi" w:cstheme="minorHAnsi"/>
          <w:noProof/>
          <w:sz w:val="24"/>
          <w:lang w:val="en-GB" w:eastAsia="en-GB"/>
        </w:rPr>
      </w:pPr>
      <w:r w:rsidRPr="003523DB">
        <w:rPr>
          <w:rFonts w:asciiTheme="minorHAnsi" w:hAnsiTheme="minorHAnsi" w:cstheme="minorHAnsi"/>
          <w:noProof/>
          <w:sz w:val="24"/>
        </w:rPr>
        <w:t>2. Legislation and guidance</w:t>
      </w:r>
      <w:r w:rsidRPr="003523DB">
        <w:rPr>
          <w:rFonts w:asciiTheme="minorHAnsi" w:hAnsiTheme="minorHAnsi" w:cstheme="minorHAnsi"/>
          <w:noProof/>
          <w:sz w:val="24"/>
        </w:rPr>
        <w:tab/>
      </w:r>
      <w:r w:rsidRPr="003523DB">
        <w:rPr>
          <w:rFonts w:asciiTheme="minorHAnsi" w:hAnsiTheme="minorHAnsi" w:cstheme="minorHAnsi"/>
          <w:noProof/>
          <w:sz w:val="24"/>
        </w:rPr>
        <w:fldChar w:fldCharType="begin"/>
      </w:r>
      <w:r w:rsidRPr="003523DB">
        <w:rPr>
          <w:rFonts w:asciiTheme="minorHAnsi" w:hAnsiTheme="minorHAnsi" w:cstheme="minorHAnsi"/>
          <w:noProof/>
          <w:sz w:val="24"/>
        </w:rPr>
        <w:instrText xml:space="preserve"> PAGEREF _Toc491429309 \h </w:instrText>
      </w:r>
      <w:r w:rsidRPr="003523DB">
        <w:rPr>
          <w:rFonts w:asciiTheme="minorHAnsi" w:hAnsiTheme="minorHAnsi" w:cstheme="minorHAnsi"/>
          <w:noProof/>
          <w:sz w:val="24"/>
        </w:rPr>
      </w:r>
      <w:r w:rsidRPr="003523DB">
        <w:rPr>
          <w:rFonts w:asciiTheme="minorHAnsi" w:hAnsiTheme="minorHAnsi" w:cstheme="minorHAnsi"/>
          <w:noProof/>
          <w:sz w:val="24"/>
        </w:rPr>
        <w:fldChar w:fldCharType="separate"/>
      </w:r>
      <w:r w:rsidR="00E30B92">
        <w:rPr>
          <w:rFonts w:asciiTheme="minorHAnsi" w:hAnsiTheme="minorHAnsi" w:cstheme="minorHAnsi"/>
          <w:noProof/>
          <w:sz w:val="24"/>
        </w:rPr>
        <w:t>2</w:t>
      </w:r>
      <w:r w:rsidRPr="003523DB">
        <w:rPr>
          <w:rFonts w:asciiTheme="minorHAnsi" w:hAnsiTheme="minorHAnsi" w:cstheme="minorHAnsi"/>
          <w:noProof/>
          <w:sz w:val="24"/>
        </w:rPr>
        <w:fldChar w:fldCharType="end"/>
      </w:r>
    </w:p>
    <w:p w:rsidR="003523DB" w:rsidRPr="003523DB" w:rsidRDefault="003523DB" w:rsidP="003523DB">
      <w:pPr>
        <w:pStyle w:val="TOC1"/>
        <w:rPr>
          <w:rFonts w:asciiTheme="minorHAnsi" w:eastAsia="Times New Roman" w:hAnsiTheme="minorHAnsi" w:cstheme="minorHAnsi"/>
          <w:noProof/>
          <w:sz w:val="24"/>
          <w:lang w:val="en-GB" w:eastAsia="en-GB"/>
        </w:rPr>
      </w:pPr>
      <w:r w:rsidRPr="003523DB">
        <w:rPr>
          <w:rFonts w:asciiTheme="minorHAnsi" w:hAnsiTheme="minorHAnsi" w:cstheme="minorHAnsi"/>
          <w:noProof/>
          <w:sz w:val="24"/>
        </w:rPr>
        <w:t>3. Action plan</w:t>
      </w:r>
      <w:r w:rsidRPr="003523DB">
        <w:rPr>
          <w:rFonts w:asciiTheme="minorHAnsi" w:hAnsiTheme="minorHAnsi" w:cstheme="minorHAnsi"/>
          <w:noProof/>
          <w:sz w:val="24"/>
        </w:rPr>
        <w:tab/>
      </w:r>
      <w:r w:rsidRPr="003523DB">
        <w:rPr>
          <w:rFonts w:asciiTheme="minorHAnsi" w:hAnsiTheme="minorHAnsi" w:cstheme="minorHAnsi"/>
          <w:noProof/>
          <w:sz w:val="24"/>
        </w:rPr>
        <w:fldChar w:fldCharType="begin"/>
      </w:r>
      <w:r w:rsidRPr="003523DB">
        <w:rPr>
          <w:rFonts w:asciiTheme="minorHAnsi" w:hAnsiTheme="minorHAnsi" w:cstheme="minorHAnsi"/>
          <w:noProof/>
          <w:sz w:val="24"/>
        </w:rPr>
        <w:instrText xml:space="preserve"> PAGEREF _Toc491429310 \h </w:instrText>
      </w:r>
      <w:r w:rsidRPr="003523DB">
        <w:rPr>
          <w:rFonts w:asciiTheme="minorHAnsi" w:hAnsiTheme="minorHAnsi" w:cstheme="minorHAnsi"/>
          <w:noProof/>
          <w:sz w:val="24"/>
        </w:rPr>
      </w:r>
      <w:r w:rsidRPr="003523DB">
        <w:rPr>
          <w:rFonts w:asciiTheme="minorHAnsi" w:hAnsiTheme="minorHAnsi" w:cstheme="minorHAnsi"/>
          <w:noProof/>
          <w:sz w:val="24"/>
        </w:rPr>
        <w:fldChar w:fldCharType="separate"/>
      </w:r>
      <w:r w:rsidR="00E30B92">
        <w:rPr>
          <w:rFonts w:asciiTheme="minorHAnsi" w:hAnsiTheme="minorHAnsi" w:cstheme="minorHAnsi"/>
          <w:noProof/>
          <w:sz w:val="24"/>
        </w:rPr>
        <w:t>4</w:t>
      </w:r>
      <w:r w:rsidRPr="003523DB">
        <w:rPr>
          <w:rFonts w:asciiTheme="minorHAnsi" w:hAnsiTheme="minorHAnsi" w:cstheme="minorHAnsi"/>
          <w:noProof/>
          <w:sz w:val="24"/>
        </w:rPr>
        <w:fldChar w:fldCharType="end"/>
      </w:r>
    </w:p>
    <w:p w:rsidR="003523DB" w:rsidRPr="003523DB" w:rsidRDefault="003523DB" w:rsidP="003523DB">
      <w:pPr>
        <w:pStyle w:val="TOC1"/>
        <w:rPr>
          <w:rFonts w:asciiTheme="minorHAnsi" w:eastAsia="Times New Roman" w:hAnsiTheme="minorHAnsi" w:cstheme="minorHAnsi"/>
          <w:noProof/>
          <w:sz w:val="24"/>
          <w:lang w:val="en-GB" w:eastAsia="en-GB"/>
        </w:rPr>
      </w:pPr>
      <w:r w:rsidRPr="003523DB">
        <w:rPr>
          <w:rFonts w:asciiTheme="minorHAnsi" w:hAnsiTheme="minorHAnsi" w:cstheme="minorHAnsi"/>
          <w:noProof/>
          <w:sz w:val="24"/>
        </w:rPr>
        <w:t>4. Monitoring arrangements</w:t>
      </w:r>
      <w:r w:rsidRPr="003523DB">
        <w:rPr>
          <w:rFonts w:asciiTheme="minorHAnsi" w:hAnsiTheme="minorHAnsi" w:cstheme="minorHAnsi"/>
          <w:noProof/>
          <w:sz w:val="24"/>
        </w:rPr>
        <w:tab/>
      </w:r>
      <w:r w:rsidRPr="003523DB">
        <w:rPr>
          <w:rFonts w:asciiTheme="minorHAnsi" w:hAnsiTheme="minorHAnsi" w:cstheme="minorHAnsi"/>
          <w:noProof/>
          <w:sz w:val="24"/>
        </w:rPr>
        <w:fldChar w:fldCharType="begin"/>
      </w:r>
      <w:r w:rsidRPr="003523DB">
        <w:rPr>
          <w:rFonts w:asciiTheme="minorHAnsi" w:hAnsiTheme="minorHAnsi" w:cstheme="minorHAnsi"/>
          <w:noProof/>
          <w:sz w:val="24"/>
        </w:rPr>
        <w:instrText xml:space="preserve"> PAGEREF _Toc491429311 \h </w:instrText>
      </w:r>
      <w:r w:rsidRPr="003523DB">
        <w:rPr>
          <w:rFonts w:asciiTheme="minorHAnsi" w:hAnsiTheme="minorHAnsi" w:cstheme="minorHAnsi"/>
          <w:noProof/>
          <w:sz w:val="24"/>
        </w:rPr>
      </w:r>
      <w:r w:rsidRPr="003523DB">
        <w:rPr>
          <w:rFonts w:asciiTheme="minorHAnsi" w:hAnsiTheme="minorHAnsi" w:cstheme="minorHAnsi"/>
          <w:noProof/>
          <w:sz w:val="24"/>
        </w:rPr>
        <w:fldChar w:fldCharType="separate"/>
      </w:r>
      <w:r w:rsidR="00E30B92">
        <w:rPr>
          <w:rFonts w:asciiTheme="minorHAnsi" w:hAnsiTheme="minorHAnsi" w:cstheme="minorHAnsi"/>
          <w:noProof/>
          <w:sz w:val="24"/>
        </w:rPr>
        <w:t>7</w:t>
      </w:r>
      <w:r w:rsidRPr="003523DB">
        <w:rPr>
          <w:rFonts w:asciiTheme="minorHAnsi" w:hAnsiTheme="minorHAnsi" w:cstheme="minorHAnsi"/>
          <w:noProof/>
          <w:sz w:val="24"/>
        </w:rPr>
        <w:fldChar w:fldCharType="end"/>
      </w:r>
    </w:p>
    <w:p w:rsidR="003523DB" w:rsidRPr="003523DB" w:rsidRDefault="003523DB" w:rsidP="003523DB">
      <w:pPr>
        <w:pStyle w:val="TOC1"/>
        <w:rPr>
          <w:rFonts w:asciiTheme="minorHAnsi" w:eastAsia="Times New Roman" w:hAnsiTheme="minorHAnsi" w:cstheme="minorHAnsi"/>
          <w:noProof/>
          <w:sz w:val="24"/>
          <w:lang w:val="en-GB" w:eastAsia="en-GB"/>
        </w:rPr>
      </w:pPr>
      <w:r w:rsidRPr="003523DB">
        <w:rPr>
          <w:rFonts w:asciiTheme="minorHAnsi" w:hAnsiTheme="minorHAnsi" w:cstheme="minorHAnsi"/>
          <w:noProof/>
          <w:sz w:val="24"/>
        </w:rPr>
        <w:t>5. Links with other policies</w:t>
      </w:r>
      <w:r w:rsidRPr="003523DB">
        <w:rPr>
          <w:rFonts w:asciiTheme="minorHAnsi" w:hAnsiTheme="minorHAnsi" w:cstheme="minorHAnsi"/>
          <w:noProof/>
          <w:sz w:val="24"/>
        </w:rPr>
        <w:tab/>
      </w:r>
      <w:r w:rsidRPr="003523DB">
        <w:rPr>
          <w:rFonts w:asciiTheme="minorHAnsi" w:hAnsiTheme="minorHAnsi" w:cstheme="minorHAnsi"/>
          <w:noProof/>
          <w:sz w:val="24"/>
        </w:rPr>
        <w:fldChar w:fldCharType="begin"/>
      </w:r>
      <w:r w:rsidRPr="003523DB">
        <w:rPr>
          <w:rFonts w:asciiTheme="minorHAnsi" w:hAnsiTheme="minorHAnsi" w:cstheme="minorHAnsi"/>
          <w:noProof/>
          <w:sz w:val="24"/>
        </w:rPr>
        <w:instrText xml:space="preserve"> PAGEREF _Toc491429312 \h </w:instrText>
      </w:r>
      <w:r w:rsidRPr="003523DB">
        <w:rPr>
          <w:rFonts w:asciiTheme="minorHAnsi" w:hAnsiTheme="minorHAnsi" w:cstheme="minorHAnsi"/>
          <w:noProof/>
          <w:sz w:val="24"/>
        </w:rPr>
      </w:r>
      <w:r w:rsidRPr="003523DB">
        <w:rPr>
          <w:rFonts w:asciiTheme="minorHAnsi" w:hAnsiTheme="minorHAnsi" w:cstheme="minorHAnsi"/>
          <w:noProof/>
          <w:sz w:val="24"/>
        </w:rPr>
        <w:fldChar w:fldCharType="separate"/>
      </w:r>
      <w:r w:rsidR="00E30B92">
        <w:rPr>
          <w:rFonts w:asciiTheme="minorHAnsi" w:hAnsiTheme="minorHAnsi" w:cstheme="minorHAnsi"/>
          <w:noProof/>
          <w:sz w:val="24"/>
        </w:rPr>
        <w:t>7</w:t>
      </w:r>
      <w:r w:rsidRPr="003523DB">
        <w:rPr>
          <w:rFonts w:asciiTheme="minorHAnsi" w:hAnsiTheme="minorHAnsi" w:cstheme="minorHAnsi"/>
          <w:noProof/>
          <w:sz w:val="24"/>
        </w:rPr>
        <w:fldChar w:fldCharType="end"/>
      </w:r>
    </w:p>
    <w:p w:rsidR="003523DB" w:rsidRPr="003523DB" w:rsidRDefault="003523DB" w:rsidP="003523DB">
      <w:pPr>
        <w:pStyle w:val="TOC1"/>
        <w:rPr>
          <w:rFonts w:asciiTheme="minorHAnsi" w:eastAsia="Times New Roman" w:hAnsiTheme="minorHAnsi" w:cstheme="minorHAnsi"/>
          <w:noProof/>
          <w:sz w:val="24"/>
          <w:lang w:val="en-GB" w:eastAsia="en-GB"/>
        </w:rPr>
      </w:pPr>
      <w:r w:rsidRPr="003523DB">
        <w:rPr>
          <w:rFonts w:asciiTheme="minorHAnsi" w:hAnsiTheme="minorHAnsi" w:cstheme="minorHAnsi"/>
          <w:noProof/>
          <w:sz w:val="24"/>
        </w:rPr>
        <w:t>Appendix 1: Accessibility audit</w:t>
      </w:r>
      <w:r w:rsidRPr="003523DB">
        <w:rPr>
          <w:rFonts w:asciiTheme="minorHAnsi" w:hAnsiTheme="minorHAnsi" w:cstheme="minorHAnsi"/>
          <w:noProof/>
          <w:sz w:val="24"/>
        </w:rPr>
        <w:tab/>
      </w:r>
      <w:r w:rsidRPr="003523DB">
        <w:rPr>
          <w:rFonts w:asciiTheme="minorHAnsi" w:hAnsiTheme="minorHAnsi" w:cstheme="minorHAnsi"/>
          <w:noProof/>
          <w:sz w:val="24"/>
        </w:rPr>
        <w:fldChar w:fldCharType="begin"/>
      </w:r>
      <w:r w:rsidRPr="003523DB">
        <w:rPr>
          <w:rFonts w:asciiTheme="minorHAnsi" w:hAnsiTheme="minorHAnsi" w:cstheme="minorHAnsi"/>
          <w:noProof/>
          <w:sz w:val="24"/>
        </w:rPr>
        <w:instrText xml:space="preserve"> PAGEREF _Toc491429313 \h </w:instrText>
      </w:r>
      <w:r w:rsidRPr="003523DB">
        <w:rPr>
          <w:rFonts w:asciiTheme="minorHAnsi" w:hAnsiTheme="minorHAnsi" w:cstheme="minorHAnsi"/>
          <w:noProof/>
          <w:sz w:val="24"/>
        </w:rPr>
      </w:r>
      <w:r w:rsidRPr="003523DB">
        <w:rPr>
          <w:rFonts w:asciiTheme="minorHAnsi" w:hAnsiTheme="minorHAnsi" w:cstheme="minorHAnsi"/>
          <w:noProof/>
          <w:sz w:val="24"/>
        </w:rPr>
        <w:fldChar w:fldCharType="separate"/>
      </w:r>
      <w:r w:rsidR="00E30B92">
        <w:rPr>
          <w:rFonts w:asciiTheme="minorHAnsi" w:hAnsiTheme="minorHAnsi" w:cstheme="minorHAnsi"/>
          <w:b/>
          <w:bCs/>
          <w:noProof/>
          <w:sz w:val="24"/>
        </w:rPr>
        <w:t>.</w:t>
      </w:r>
      <w:r w:rsidRPr="003523DB">
        <w:rPr>
          <w:rFonts w:asciiTheme="minorHAnsi" w:hAnsiTheme="minorHAnsi" w:cstheme="minorHAnsi"/>
          <w:noProof/>
          <w:sz w:val="24"/>
        </w:rPr>
        <w:fldChar w:fldCharType="end"/>
      </w:r>
    </w:p>
    <w:p w:rsidR="003523DB" w:rsidRPr="003523DB" w:rsidRDefault="003523DB" w:rsidP="003523DB">
      <w:pPr>
        <w:rPr>
          <w:rFonts w:asciiTheme="minorHAnsi" w:eastAsia="MS Mincho" w:hAnsiTheme="minorHAnsi" w:cstheme="minorHAnsi"/>
          <w:sz w:val="24"/>
          <w:szCs w:val="24"/>
          <w:lang w:val="en-US" w:eastAsia="en-US"/>
        </w:rPr>
      </w:pPr>
      <w:r w:rsidRPr="003523DB">
        <w:rPr>
          <w:rFonts w:asciiTheme="minorHAnsi" w:hAnsiTheme="minorHAnsi" w:cstheme="minorHAnsi"/>
          <w:sz w:val="24"/>
          <w:szCs w:val="24"/>
        </w:rPr>
        <w:fldChar w:fldCharType="end"/>
      </w:r>
    </w:p>
    <w:p w:rsidR="003523DB" w:rsidRPr="003523DB" w:rsidRDefault="003523DB" w:rsidP="003523DB">
      <w:pPr>
        <w:pStyle w:val="Heading1"/>
        <w:rPr>
          <w:rFonts w:asciiTheme="minorHAnsi" w:hAnsiTheme="minorHAnsi" w:cstheme="minorHAnsi"/>
          <w:sz w:val="24"/>
          <w:szCs w:val="24"/>
        </w:rPr>
      </w:pPr>
      <w:bookmarkStart w:id="1" w:name="_Toc491429308"/>
      <w:r w:rsidRPr="003523DB">
        <w:rPr>
          <w:rFonts w:asciiTheme="minorHAnsi" w:hAnsiTheme="minorHAnsi" w:cstheme="minorHAnsi"/>
          <w:sz w:val="24"/>
          <w:szCs w:val="24"/>
        </w:rPr>
        <w:t>1. Aims</w:t>
      </w:r>
      <w:bookmarkEnd w:id="1"/>
    </w:p>
    <w:p w:rsidR="003523DB" w:rsidRPr="003523DB" w:rsidRDefault="003523DB" w:rsidP="003523DB">
      <w:pPr>
        <w:rPr>
          <w:rFonts w:asciiTheme="minorHAnsi" w:hAnsiTheme="minorHAnsi" w:cstheme="minorHAnsi"/>
          <w:color w:val="ED7D31"/>
          <w:sz w:val="24"/>
          <w:szCs w:val="24"/>
        </w:rPr>
      </w:pPr>
      <w:r w:rsidRPr="003523DB">
        <w:rPr>
          <w:rFonts w:asciiTheme="minorHAnsi" w:hAnsiTheme="minorHAnsi" w:cstheme="minorHAnsi"/>
          <w:sz w:val="24"/>
          <w:szCs w:val="24"/>
        </w:rPr>
        <w:t>Schools are required under the Equality Act 2010 to have an accessibility plan. The purpose of the plan is to</w:t>
      </w:r>
      <w:r w:rsidRPr="003523DB">
        <w:rPr>
          <w:rFonts w:asciiTheme="minorHAnsi" w:hAnsiTheme="minorHAnsi" w:cstheme="minorHAnsi"/>
          <w:color w:val="ED7D31"/>
          <w:sz w:val="24"/>
          <w:szCs w:val="24"/>
        </w:rPr>
        <w:t>:</w:t>
      </w:r>
    </w:p>
    <w:p w:rsidR="003523DB" w:rsidRPr="003523DB" w:rsidRDefault="003523DB" w:rsidP="003523DB">
      <w:pPr>
        <w:numPr>
          <w:ilvl w:val="0"/>
          <w:numId w:val="10"/>
        </w:numPr>
        <w:shd w:val="clear" w:color="auto" w:fill="FFFFFF"/>
        <w:spacing w:before="161" w:after="161"/>
        <w:rPr>
          <w:rFonts w:asciiTheme="minorHAnsi" w:hAnsiTheme="minorHAnsi" w:cstheme="minorHAnsi"/>
          <w:color w:val="auto"/>
          <w:sz w:val="24"/>
          <w:szCs w:val="24"/>
        </w:rPr>
      </w:pPr>
      <w:r w:rsidRPr="003523DB">
        <w:rPr>
          <w:rFonts w:asciiTheme="minorHAnsi" w:hAnsiTheme="minorHAnsi" w:cstheme="minorHAnsi"/>
          <w:sz w:val="24"/>
          <w:szCs w:val="24"/>
        </w:rPr>
        <w:t>Increase the extent to which disabled pupils can participate in the curriculum</w:t>
      </w:r>
    </w:p>
    <w:p w:rsidR="003523DB" w:rsidRPr="003523DB" w:rsidRDefault="003523DB" w:rsidP="003523DB">
      <w:pPr>
        <w:numPr>
          <w:ilvl w:val="0"/>
          <w:numId w:val="11"/>
        </w:numPr>
        <w:shd w:val="clear" w:color="auto" w:fill="FFFFFF"/>
        <w:spacing w:before="161" w:after="161"/>
        <w:rPr>
          <w:rFonts w:asciiTheme="minorHAnsi" w:hAnsiTheme="minorHAnsi" w:cstheme="minorHAnsi"/>
          <w:sz w:val="24"/>
          <w:szCs w:val="24"/>
        </w:rPr>
      </w:pPr>
      <w:r w:rsidRPr="003523DB">
        <w:rPr>
          <w:rFonts w:asciiTheme="minorHAnsi" w:hAnsiTheme="minorHAnsi" w:cstheme="minorHAnsi"/>
          <w:sz w:val="24"/>
          <w:szCs w:val="24"/>
        </w:rPr>
        <w:t>Improve the physical environment of the school to enable disabled pupils to take better advantage of education, benefits, facilities and services provided</w:t>
      </w:r>
    </w:p>
    <w:p w:rsidR="003523DB" w:rsidRPr="003523DB" w:rsidRDefault="003523DB" w:rsidP="003523DB">
      <w:pPr>
        <w:numPr>
          <w:ilvl w:val="0"/>
          <w:numId w:val="11"/>
        </w:numPr>
        <w:shd w:val="clear" w:color="auto" w:fill="FFFFFF"/>
        <w:spacing w:before="161" w:after="161"/>
        <w:rPr>
          <w:rFonts w:asciiTheme="minorHAnsi" w:hAnsiTheme="minorHAnsi" w:cstheme="minorHAnsi"/>
          <w:sz w:val="24"/>
          <w:szCs w:val="24"/>
        </w:rPr>
      </w:pPr>
      <w:r w:rsidRPr="003523DB">
        <w:rPr>
          <w:rFonts w:asciiTheme="minorHAnsi" w:hAnsiTheme="minorHAnsi" w:cstheme="minorHAnsi"/>
          <w:sz w:val="24"/>
          <w:szCs w:val="24"/>
        </w:rPr>
        <w:t>Improve the availability of accessible information to disabled pupils</w:t>
      </w:r>
    </w:p>
    <w:p w:rsidR="003523DB" w:rsidRPr="003523DB" w:rsidRDefault="003523DB" w:rsidP="003523DB">
      <w:pPr>
        <w:rPr>
          <w:rFonts w:asciiTheme="minorHAnsi" w:eastAsia="MS Mincho" w:hAnsiTheme="minorHAnsi" w:cstheme="minorHAnsi"/>
          <w:sz w:val="24"/>
          <w:szCs w:val="24"/>
          <w:lang w:eastAsia="en-US"/>
        </w:rPr>
      </w:pPr>
      <w:r w:rsidRPr="003523DB">
        <w:rPr>
          <w:rFonts w:asciiTheme="minorHAnsi" w:hAnsiTheme="minorHAnsi" w:cstheme="minorHAnsi"/>
          <w:sz w:val="24"/>
          <w:szCs w:val="24"/>
        </w:rPr>
        <w:t>Our school aims to treat all its pupils fairly and with respect. This involves providing access and opportunities for all pupils without discrimination of any kind.</w:t>
      </w:r>
    </w:p>
    <w:p w:rsidR="00672116" w:rsidRDefault="00672116" w:rsidP="00672116">
      <w:pPr>
        <w:pStyle w:val="NormalWeb"/>
      </w:pPr>
      <w:r>
        <w:t xml:space="preserve">Logic's ethos is a simple one - </w:t>
      </w:r>
      <w:r>
        <w:rPr>
          <w:rStyle w:val="Strong"/>
        </w:rPr>
        <w:t>Looking forward. Looking outwards. Taking action</w:t>
      </w:r>
      <w:r>
        <w:t>.</w:t>
      </w:r>
    </w:p>
    <w:p w:rsidR="00672116" w:rsidRDefault="00672116" w:rsidP="00672116">
      <w:pPr>
        <w:pStyle w:val="NormalWeb"/>
      </w:pPr>
      <w:r>
        <w:rPr>
          <w:rStyle w:val="Emphasis"/>
        </w:rPr>
        <w:t>"The Logic Attitude will be engrained in everything we do at Logic through both teaching and learning and enrichment opportunities. By the end of Year 11 students will show an awareness of, and be developing, these skills and qualities. By the end of Year 13 students will be career ready with a firm grounding in the Logic Attitude. A practical skill set will need to be developed in order to enable students to fulfil their potential" </w:t>
      </w:r>
    </w:p>
    <w:p w:rsidR="00672116" w:rsidRDefault="00672116" w:rsidP="00672116">
      <w:pPr>
        <w:pStyle w:val="NormalWeb"/>
      </w:pPr>
    </w:p>
    <w:p w:rsidR="00672116" w:rsidRDefault="00672116" w:rsidP="00672116">
      <w:pPr>
        <w:pStyle w:val="NormalWeb"/>
      </w:pPr>
    </w:p>
    <w:p w:rsidR="00672116" w:rsidRDefault="00BB6B9E" w:rsidP="00672116">
      <w:pPr>
        <w:pStyle w:val="NormalWeb"/>
      </w:pPr>
      <w:r>
        <w:t>We</w:t>
      </w:r>
      <w:r w:rsidR="00672116">
        <w:t xml:space="preserve"> will do this through our innovative approach to education which is:</w:t>
      </w:r>
    </w:p>
    <w:p w:rsidR="00672116" w:rsidRDefault="00672116" w:rsidP="00672116">
      <w:pPr>
        <w:pStyle w:val="NormalWeb"/>
      </w:pPr>
      <w:r>
        <w:rPr>
          <w:rStyle w:val="Strong"/>
        </w:rPr>
        <w:t>Relevant</w:t>
      </w:r>
      <w:r w:rsidR="000B2B71">
        <w:t>: A</w:t>
      </w:r>
      <w:r>
        <w:t xml:space="preserve"> more modern &amp; applied approach to learning, with subje</w:t>
      </w:r>
      <w:r w:rsidR="000B2B71">
        <w:t>cts that will open doors to their</w:t>
      </w:r>
      <w:r>
        <w:t xml:space="preserve"> career including Computing, Business, Events, Creative Media and Logistics.</w:t>
      </w:r>
    </w:p>
    <w:p w:rsidR="00672116" w:rsidRDefault="00672116" w:rsidP="00672116">
      <w:pPr>
        <w:pStyle w:val="NormalWeb"/>
      </w:pPr>
      <w:r>
        <w:rPr>
          <w:rStyle w:val="Strong"/>
        </w:rPr>
        <w:t>Connected</w:t>
      </w:r>
      <w:r w:rsidR="000B2B71">
        <w:t>: They</w:t>
      </w:r>
      <w:r>
        <w:t xml:space="preserve"> meet, be inspired and taught by industry experts, as well gaining first-hand experience by taking part in 6 weeks of proper work experience</w:t>
      </w:r>
    </w:p>
    <w:p w:rsidR="00672116" w:rsidRDefault="00672116" w:rsidP="00672116">
      <w:pPr>
        <w:pStyle w:val="NormalWeb"/>
      </w:pPr>
      <w:r>
        <w:rPr>
          <w:rStyle w:val="Strong"/>
        </w:rPr>
        <w:t>Focused</w:t>
      </w:r>
      <w:r w:rsidR="000B2B71">
        <w:t>: A</w:t>
      </w:r>
      <w:r>
        <w:t xml:space="preserve">s a small school, we don’t offer a conveyor-belt approach to education, instead </w:t>
      </w:r>
      <w:r w:rsidR="000B2B71">
        <w:t xml:space="preserve">our students </w:t>
      </w:r>
      <w:r>
        <w:t>benefit from personal one-to-one coaching</w:t>
      </w:r>
    </w:p>
    <w:p w:rsidR="00BB6B9E" w:rsidRDefault="000B2B71" w:rsidP="00672116">
      <w:pPr>
        <w:pStyle w:val="NormalWeb"/>
      </w:pPr>
      <w:r>
        <w:t>We are a highly inclusive school determined to serve our community as best we can.  We create opportunity and shape the future for every one of our students.</w:t>
      </w:r>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The plan will be made available online on the school website, and paper copies are available upon request.</w:t>
      </w:r>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Our school is also committed to ensuring staff are trained in equality issues with reference to the Equality Act 2010, including understanding disability issues.</w:t>
      </w:r>
    </w:p>
    <w:p w:rsidR="008A5BAB" w:rsidRDefault="008A5BAB" w:rsidP="003523DB">
      <w:pPr>
        <w:rPr>
          <w:rFonts w:asciiTheme="minorHAnsi" w:hAnsiTheme="minorHAnsi" w:cstheme="minorHAnsi"/>
          <w:sz w:val="24"/>
          <w:szCs w:val="24"/>
        </w:rPr>
      </w:pPr>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The school supports any available partnerships to develop and implement the plan.</w:t>
      </w:r>
    </w:p>
    <w:p w:rsidR="00F60E3F" w:rsidRPr="008A5BAB" w:rsidRDefault="00F60E3F" w:rsidP="003523DB">
      <w:pPr>
        <w:pStyle w:val="Caption1"/>
        <w:rPr>
          <w:rFonts w:asciiTheme="minorHAnsi" w:hAnsiTheme="minorHAnsi" w:cstheme="minorHAnsi"/>
          <w:sz w:val="24"/>
        </w:rPr>
      </w:pPr>
    </w:p>
    <w:p w:rsidR="008A5BAB" w:rsidRPr="008A5BAB" w:rsidRDefault="008A5BAB" w:rsidP="008A5BAB">
      <w:pPr>
        <w:rPr>
          <w:rFonts w:asciiTheme="minorHAnsi" w:hAnsiTheme="minorHAnsi" w:cstheme="minorHAnsi"/>
          <w:sz w:val="24"/>
          <w:szCs w:val="24"/>
        </w:rPr>
      </w:pPr>
      <w:r w:rsidRPr="008A5BAB">
        <w:rPr>
          <w:rFonts w:asciiTheme="minorHAnsi" w:hAnsiTheme="minorHAnsi" w:cstheme="minorHAnsi"/>
          <w:b/>
          <w:sz w:val="24"/>
          <w:szCs w:val="24"/>
        </w:rPr>
        <w:t>Trust Specific Priorities include</w:t>
      </w:r>
      <w:r w:rsidRPr="008A5BAB">
        <w:rPr>
          <w:rFonts w:asciiTheme="minorHAnsi" w:hAnsiTheme="minorHAnsi" w:cstheme="minorHAnsi"/>
          <w:sz w:val="24"/>
          <w:szCs w:val="24"/>
        </w:rPr>
        <w:t>:</w:t>
      </w:r>
    </w:p>
    <w:p w:rsidR="008A5BAB" w:rsidRPr="008A5BAB" w:rsidRDefault="008A5BAB" w:rsidP="008A5BAB">
      <w:pPr>
        <w:rPr>
          <w:rFonts w:asciiTheme="minorHAnsi" w:hAnsiTheme="minorHAnsi" w:cstheme="minorHAnsi"/>
          <w:sz w:val="24"/>
          <w:szCs w:val="24"/>
        </w:rPr>
      </w:pPr>
    </w:p>
    <w:p w:rsidR="008A5BAB" w:rsidRPr="008A5BAB" w:rsidRDefault="008A5BAB" w:rsidP="008A5BAB">
      <w:pPr>
        <w:pStyle w:val="ListParagraph"/>
        <w:numPr>
          <w:ilvl w:val="0"/>
          <w:numId w:val="7"/>
        </w:numPr>
        <w:spacing w:after="200" w:line="276" w:lineRule="auto"/>
        <w:ind w:left="284" w:hanging="284"/>
        <w:contextualSpacing/>
        <w:rPr>
          <w:rFonts w:asciiTheme="minorHAnsi" w:hAnsiTheme="minorHAnsi" w:cstheme="minorHAnsi"/>
        </w:rPr>
      </w:pPr>
      <w:r w:rsidRPr="008A5BAB">
        <w:rPr>
          <w:rFonts w:asciiTheme="minorHAnsi" w:hAnsiTheme="minorHAnsi" w:cstheme="minorHAnsi"/>
        </w:rPr>
        <w:t>Ensuring that Hounslow’s Resourc</w:t>
      </w:r>
      <w:r w:rsidR="001C028E">
        <w:rPr>
          <w:rFonts w:asciiTheme="minorHAnsi" w:hAnsiTheme="minorHAnsi" w:cstheme="minorHAnsi"/>
        </w:rPr>
        <w:t>ed Centres located at Tudor Park</w:t>
      </w:r>
      <w:r w:rsidRPr="008A5BAB">
        <w:rPr>
          <w:rFonts w:asciiTheme="minorHAnsi" w:hAnsiTheme="minorHAnsi" w:cstheme="minorHAnsi"/>
        </w:rPr>
        <w:t xml:space="preserve"> have appropriate levels of staffing, therapy and facilities to meet the needs of students</w:t>
      </w:r>
      <w:r w:rsidR="00210640">
        <w:rPr>
          <w:rFonts w:asciiTheme="minorHAnsi" w:hAnsiTheme="minorHAnsi" w:cstheme="minorHAnsi"/>
        </w:rPr>
        <w:t xml:space="preserve"> ensuring best routes of Progression on to our Sixth Form or College</w:t>
      </w:r>
    </w:p>
    <w:p w:rsidR="008A5BAB" w:rsidRPr="008A5BAB" w:rsidRDefault="008A5BAB" w:rsidP="008A5BAB">
      <w:pPr>
        <w:pStyle w:val="ListParagraph"/>
        <w:numPr>
          <w:ilvl w:val="0"/>
          <w:numId w:val="7"/>
        </w:numPr>
        <w:spacing w:after="200" w:line="276" w:lineRule="auto"/>
        <w:ind w:left="284" w:hanging="284"/>
        <w:contextualSpacing/>
        <w:rPr>
          <w:rFonts w:asciiTheme="minorHAnsi" w:hAnsiTheme="minorHAnsi" w:cstheme="minorHAnsi"/>
        </w:rPr>
      </w:pPr>
      <w:r w:rsidRPr="008A5BAB">
        <w:rPr>
          <w:rFonts w:asciiTheme="minorHAnsi" w:hAnsiTheme="minorHAnsi" w:cstheme="minorHAnsi"/>
        </w:rPr>
        <w:t>Continue to improve the physical environment to accommodate the needs of all users</w:t>
      </w:r>
    </w:p>
    <w:p w:rsidR="003523DB" w:rsidRPr="00022B51" w:rsidRDefault="008A5BAB" w:rsidP="003523DB">
      <w:pPr>
        <w:pStyle w:val="ListParagraph"/>
        <w:numPr>
          <w:ilvl w:val="0"/>
          <w:numId w:val="7"/>
        </w:numPr>
        <w:spacing w:after="200" w:line="276" w:lineRule="auto"/>
        <w:ind w:left="284" w:hanging="284"/>
        <w:contextualSpacing/>
        <w:rPr>
          <w:rFonts w:asciiTheme="minorHAnsi" w:hAnsiTheme="minorHAnsi" w:cstheme="minorHAnsi"/>
        </w:rPr>
      </w:pPr>
      <w:r w:rsidRPr="008A5BAB">
        <w:rPr>
          <w:rFonts w:asciiTheme="minorHAnsi" w:hAnsiTheme="minorHAnsi" w:cstheme="minorHAnsi"/>
        </w:rPr>
        <w:t>To keep under review the School’s responsibilities in this area under the provisions of the Equality Act</w:t>
      </w:r>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Our school’s complaints procedure covers the accessibility plan. If you have any concerns relating to accessibility in school, this procedure sets out the process for raising these concerns.</w:t>
      </w:r>
    </w:p>
    <w:p w:rsidR="003523DB" w:rsidRPr="003523DB" w:rsidRDefault="003523DB" w:rsidP="003523DB">
      <w:pPr>
        <w:pStyle w:val="Caption1"/>
        <w:rPr>
          <w:rFonts w:asciiTheme="minorHAnsi" w:hAnsiTheme="minorHAnsi" w:cstheme="minorHAnsi"/>
          <w:sz w:val="24"/>
        </w:rPr>
      </w:pPr>
      <w:r w:rsidRPr="003523DB">
        <w:rPr>
          <w:rFonts w:asciiTheme="minorHAnsi" w:hAnsiTheme="minorHAnsi" w:cstheme="minorHAnsi"/>
          <w:i w:val="0"/>
          <w:color w:val="auto"/>
          <w:sz w:val="24"/>
        </w:rPr>
        <w:t>We have included a range of stakeholders in the development of this accessibility plan, including</w:t>
      </w:r>
      <w:r w:rsidRPr="003523DB">
        <w:rPr>
          <w:rFonts w:asciiTheme="minorHAnsi" w:hAnsiTheme="minorHAnsi" w:cstheme="minorHAnsi"/>
          <w:color w:val="ED7D31"/>
          <w:sz w:val="24"/>
        </w:rPr>
        <w:t xml:space="preserve"> </w:t>
      </w:r>
      <w:r w:rsidR="00022B51" w:rsidRPr="00022B51">
        <w:rPr>
          <w:rFonts w:asciiTheme="minorHAnsi" w:hAnsiTheme="minorHAnsi" w:cstheme="minorHAnsi"/>
          <w:i w:val="0"/>
          <w:color w:val="auto"/>
          <w:sz w:val="24"/>
        </w:rPr>
        <w:t>students, staff and governors</w:t>
      </w:r>
    </w:p>
    <w:p w:rsidR="003523DB" w:rsidRPr="003523DB" w:rsidRDefault="003523DB" w:rsidP="003523DB">
      <w:pPr>
        <w:pStyle w:val="Heading1"/>
        <w:rPr>
          <w:rFonts w:asciiTheme="minorHAnsi" w:hAnsiTheme="minorHAnsi" w:cstheme="minorHAnsi"/>
          <w:sz w:val="24"/>
          <w:szCs w:val="24"/>
        </w:rPr>
      </w:pPr>
      <w:bookmarkStart w:id="2" w:name="_Toc491429309"/>
      <w:r w:rsidRPr="003523DB">
        <w:rPr>
          <w:rFonts w:asciiTheme="minorHAnsi" w:hAnsiTheme="minorHAnsi" w:cstheme="minorHAnsi"/>
          <w:sz w:val="24"/>
          <w:szCs w:val="24"/>
        </w:rPr>
        <w:t>2. Legislation and guidance</w:t>
      </w:r>
      <w:bookmarkEnd w:id="2"/>
    </w:p>
    <w:p w:rsidR="003523DB" w:rsidRPr="003523DB" w:rsidRDefault="003523DB" w:rsidP="003523DB">
      <w:pPr>
        <w:rPr>
          <w:rFonts w:asciiTheme="minorHAnsi" w:hAnsiTheme="minorHAnsi" w:cstheme="minorHAnsi"/>
          <w:sz w:val="24"/>
          <w:szCs w:val="24"/>
          <w:shd w:val="clear" w:color="auto" w:fill="FFFFFF"/>
        </w:rPr>
      </w:pPr>
      <w:r w:rsidRPr="003523DB">
        <w:rPr>
          <w:rFonts w:asciiTheme="minorHAnsi" w:hAnsiTheme="minorHAnsi" w:cstheme="minorHAnsi"/>
          <w:sz w:val="24"/>
          <w:szCs w:val="24"/>
          <w:shd w:val="clear" w:color="auto" w:fill="FFFFFF"/>
        </w:rPr>
        <w:t xml:space="preserve">This document meets the requirements of </w:t>
      </w:r>
      <w:hyperlink r:id="rId8" w:history="1">
        <w:r w:rsidRPr="003523DB">
          <w:rPr>
            <w:rStyle w:val="Hyperlink"/>
            <w:rFonts w:asciiTheme="minorHAnsi" w:hAnsiTheme="minorHAnsi" w:cstheme="minorHAnsi"/>
            <w:sz w:val="24"/>
            <w:szCs w:val="24"/>
            <w:shd w:val="clear" w:color="auto" w:fill="FFFFFF"/>
          </w:rPr>
          <w:t>schedule 10 of the Equality Act 2010</w:t>
        </w:r>
      </w:hyperlink>
      <w:r w:rsidRPr="003523DB">
        <w:rPr>
          <w:rFonts w:asciiTheme="minorHAnsi" w:hAnsiTheme="minorHAnsi" w:cstheme="minorHAnsi"/>
          <w:sz w:val="24"/>
          <w:szCs w:val="24"/>
          <w:shd w:val="clear" w:color="auto" w:fill="FFFFFF"/>
        </w:rPr>
        <w:t xml:space="preserve"> and the Department for Education (</w:t>
      </w:r>
      <w:proofErr w:type="spellStart"/>
      <w:r w:rsidRPr="003523DB">
        <w:rPr>
          <w:rFonts w:asciiTheme="minorHAnsi" w:hAnsiTheme="minorHAnsi" w:cstheme="minorHAnsi"/>
          <w:sz w:val="24"/>
          <w:szCs w:val="24"/>
          <w:shd w:val="clear" w:color="auto" w:fill="FFFFFF"/>
        </w:rPr>
        <w:t>DfE</w:t>
      </w:r>
      <w:proofErr w:type="spellEnd"/>
      <w:r w:rsidRPr="003523DB">
        <w:rPr>
          <w:rFonts w:asciiTheme="minorHAnsi" w:hAnsiTheme="minorHAnsi" w:cstheme="minorHAnsi"/>
          <w:sz w:val="24"/>
          <w:szCs w:val="24"/>
          <w:shd w:val="clear" w:color="auto" w:fill="FFFFFF"/>
        </w:rPr>
        <w:t xml:space="preserve">) </w:t>
      </w:r>
      <w:hyperlink r:id="rId9" w:history="1">
        <w:r w:rsidRPr="003523DB">
          <w:rPr>
            <w:rStyle w:val="Hyperlink"/>
            <w:rFonts w:asciiTheme="minorHAnsi" w:hAnsiTheme="minorHAnsi" w:cstheme="minorHAnsi"/>
            <w:sz w:val="24"/>
            <w:szCs w:val="24"/>
            <w:shd w:val="clear" w:color="auto" w:fill="FFFFFF"/>
          </w:rPr>
          <w:t>guidance for schools on the Equality Act 2010</w:t>
        </w:r>
      </w:hyperlink>
      <w:r w:rsidRPr="003523DB">
        <w:rPr>
          <w:rFonts w:asciiTheme="minorHAnsi" w:hAnsiTheme="minorHAnsi" w:cstheme="minorHAnsi"/>
          <w:sz w:val="24"/>
          <w:szCs w:val="24"/>
          <w:shd w:val="clear" w:color="auto" w:fill="FFFFFF"/>
        </w:rPr>
        <w:t>.</w:t>
      </w:r>
    </w:p>
    <w:p w:rsidR="003523DB" w:rsidRPr="003523DB" w:rsidRDefault="003523DB" w:rsidP="003523DB">
      <w:pPr>
        <w:rPr>
          <w:rFonts w:asciiTheme="minorHAnsi" w:hAnsiTheme="minorHAnsi" w:cstheme="minorHAnsi"/>
          <w:sz w:val="24"/>
          <w:szCs w:val="24"/>
          <w:shd w:val="clear" w:color="auto" w:fill="FFFFFF"/>
        </w:rPr>
      </w:pPr>
      <w:r w:rsidRPr="003523DB">
        <w:rPr>
          <w:rFonts w:asciiTheme="minorHAnsi" w:hAnsiTheme="minorHAnsi" w:cstheme="minorHAnsi"/>
          <w:sz w:val="24"/>
          <w:szCs w:val="24"/>
          <w:shd w:val="clear" w:color="auto" w:fill="FFFFFF"/>
        </w:rPr>
        <w:t xml:space="preserve">The Equality Act 2010 defines an individual as disabled if he or she has a physical or mental impairment that has a ‘substantial’ and ‘long-term’ adverse effect on his or her ability to undertake normal day to day activities. </w:t>
      </w:r>
    </w:p>
    <w:p w:rsidR="003523DB" w:rsidRDefault="003523DB" w:rsidP="003523DB">
      <w:pPr>
        <w:rPr>
          <w:rFonts w:asciiTheme="minorHAnsi" w:hAnsiTheme="minorHAnsi" w:cstheme="minorHAnsi"/>
          <w:sz w:val="24"/>
          <w:szCs w:val="24"/>
          <w:shd w:val="clear" w:color="auto" w:fill="FFFFFF"/>
        </w:rPr>
      </w:pPr>
      <w:r w:rsidRPr="003523DB">
        <w:rPr>
          <w:rFonts w:asciiTheme="minorHAnsi" w:hAnsiTheme="minorHAnsi" w:cstheme="minorHAnsi"/>
          <w:sz w:val="24"/>
          <w:szCs w:val="24"/>
          <w:shd w:val="clear" w:color="auto" w:fill="FFFFFF"/>
        </w:rPr>
        <w:t xml:space="preserve">Under the </w:t>
      </w:r>
      <w:hyperlink r:id="rId10" w:history="1">
        <w:r w:rsidRPr="003523DB">
          <w:rPr>
            <w:rStyle w:val="Hyperlink"/>
            <w:rFonts w:asciiTheme="minorHAnsi" w:hAnsiTheme="minorHAnsi" w:cstheme="minorHAnsi"/>
            <w:sz w:val="24"/>
            <w:szCs w:val="24"/>
            <w:shd w:val="clear" w:color="auto" w:fill="FFFFFF"/>
          </w:rPr>
          <w:t>Special Educational Needs and Disability (SEND) Code of Practice</w:t>
        </w:r>
      </w:hyperlink>
      <w:r w:rsidRPr="003523DB">
        <w:rPr>
          <w:rFonts w:asciiTheme="minorHAnsi" w:hAnsiTheme="minorHAnsi" w:cstheme="minorHAnsi"/>
          <w:sz w:val="24"/>
          <w:szCs w:val="24"/>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rsidR="00022B51" w:rsidRDefault="00022B51" w:rsidP="003523DB">
      <w:pPr>
        <w:rPr>
          <w:rFonts w:asciiTheme="minorHAnsi" w:hAnsiTheme="minorHAnsi" w:cstheme="minorHAnsi"/>
          <w:sz w:val="24"/>
          <w:szCs w:val="24"/>
          <w:shd w:val="clear" w:color="auto" w:fill="FFFFFF"/>
        </w:rPr>
      </w:pPr>
    </w:p>
    <w:p w:rsidR="00022B51" w:rsidRDefault="00022B51" w:rsidP="003523DB">
      <w:pPr>
        <w:rPr>
          <w:rFonts w:asciiTheme="minorHAnsi" w:hAnsiTheme="minorHAnsi" w:cstheme="minorHAnsi"/>
          <w:sz w:val="24"/>
          <w:szCs w:val="24"/>
          <w:shd w:val="clear" w:color="auto" w:fill="FFFFFF"/>
        </w:rPr>
      </w:pPr>
    </w:p>
    <w:p w:rsidR="00022B51" w:rsidRDefault="00022B51" w:rsidP="003523DB">
      <w:pPr>
        <w:rPr>
          <w:rFonts w:asciiTheme="minorHAnsi" w:hAnsiTheme="minorHAnsi" w:cstheme="minorHAnsi"/>
          <w:sz w:val="24"/>
          <w:szCs w:val="24"/>
          <w:shd w:val="clear" w:color="auto" w:fill="FFFFFF"/>
        </w:rPr>
      </w:pPr>
    </w:p>
    <w:p w:rsidR="00022B51" w:rsidRDefault="00022B51" w:rsidP="003523DB">
      <w:pPr>
        <w:rPr>
          <w:rFonts w:asciiTheme="minorHAnsi" w:hAnsiTheme="minorHAnsi" w:cstheme="minorHAnsi"/>
          <w:sz w:val="24"/>
          <w:szCs w:val="24"/>
          <w:shd w:val="clear" w:color="auto" w:fill="FFFFFF"/>
        </w:rPr>
      </w:pPr>
    </w:p>
    <w:p w:rsidR="00022B51" w:rsidRPr="003523DB" w:rsidRDefault="00022B51" w:rsidP="003523DB">
      <w:pPr>
        <w:rPr>
          <w:rFonts w:asciiTheme="minorHAnsi" w:hAnsiTheme="minorHAnsi" w:cstheme="minorHAnsi"/>
          <w:sz w:val="24"/>
          <w:szCs w:val="24"/>
          <w:shd w:val="clear" w:color="auto" w:fill="FFFFFF"/>
        </w:rPr>
      </w:pPr>
    </w:p>
    <w:p w:rsidR="003523DB" w:rsidRPr="003523DB" w:rsidRDefault="003523DB" w:rsidP="003523DB">
      <w:pPr>
        <w:rPr>
          <w:rFonts w:asciiTheme="minorHAnsi" w:hAnsiTheme="minorHAnsi" w:cstheme="minorHAnsi"/>
          <w:sz w:val="24"/>
          <w:szCs w:val="24"/>
          <w:shd w:val="clear" w:color="auto" w:fill="FFFFFF"/>
        </w:rPr>
      </w:pPr>
      <w:r w:rsidRPr="003523DB">
        <w:rPr>
          <w:rFonts w:asciiTheme="minorHAnsi" w:hAnsiTheme="minorHAnsi" w:cstheme="minorHAnsi"/>
          <w:sz w:val="24"/>
          <w:szCs w:val="24"/>
          <w:shd w:val="clear" w:color="auto" w:fill="FFFFFF"/>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rsidR="003523DB" w:rsidRPr="003523DB" w:rsidRDefault="003523DB" w:rsidP="003523DB">
      <w:pPr>
        <w:rPr>
          <w:rFonts w:asciiTheme="minorHAnsi" w:hAnsiTheme="minorHAnsi" w:cstheme="minorHAnsi"/>
          <w:sz w:val="24"/>
          <w:szCs w:val="24"/>
          <w:shd w:val="clear" w:color="auto" w:fill="FFFFFF"/>
        </w:rPr>
      </w:pPr>
      <w:r w:rsidRPr="003523DB">
        <w:rPr>
          <w:rFonts w:asciiTheme="minorHAnsi" w:hAnsiTheme="minorHAnsi" w:cstheme="minorHAnsi"/>
          <w:sz w:val="24"/>
          <w:szCs w:val="24"/>
          <w:shd w:val="clear" w:color="auto" w:fill="FFFFFF"/>
        </w:rPr>
        <w:t>This policy complies with our funding agreement and articles of association.</w:t>
      </w:r>
    </w:p>
    <w:p w:rsidR="003523DB" w:rsidRPr="003523DB" w:rsidRDefault="003523DB" w:rsidP="003523DB">
      <w:pPr>
        <w:pStyle w:val="Caption1"/>
        <w:rPr>
          <w:rFonts w:asciiTheme="minorHAnsi" w:hAnsiTheme="minorHAnsi" w:cstheme="minorHAnsi"/>
          <w:sz w:val="24"/>
        </w:rPr>
      </w:pPr>
    </w:p>
    <w:p w:rsidR="003523DB" w:rsidRPr="003523DB" w:rsidRDefault="003523DB" w:rsidP="003523DB">
      <w:pPr>
        <w:rPr>
          <w:rFonts w:asciiTheme="minorHAnsi" w:eastAsia="MS Gothic" w:hAnsiTheme="minorHAnsi" w:cstheme="minorHAnsi"/>
          <w:b/>
          <w:bCs/>
          <w:sz w:val="24"/>
          <w:szCs w:val="24"/>
        </w:rPr>
        <w:sectPr w:rsidR="003523DB" w:rsidRPr="003523DB">
          <w:headerReference w:type="default" r:id="rId11"/>
          <w:pgSz w:w="11900" w:h="16840"/>
          <w:pgMar w:top="851" w:right="1134" w:bottom="1134" w:left="1134" w:header="567" w:footer="567" w:gutter="0"/>
          <w:cols w:space="720"/>
        </w:sectPr>
      </w:pPr>
    </w:p>
    <w:p w:rsidR="00210C3C" w:rsidRDefault="00210C3C" w:rsidP="003523DB">
      <w:pPr>
        <w:pStyle w:val="Heading1"/>
        <w:rPr>
          <w:rFonts w:asciiTheme="minorHAnsi" w:hAnsiTheme="minorHAnsi" w:cstheme="minorHAnsi"/>
          <w:sz w:val="24"/>
          <w:szCs w:val="24"/>
        </w:rPr>
      </w:pPr>
      <w:bookmarkStart w:id="3" w:name="_Toc491429310"/>
    </w:p>
    <w:p w:rsidR="00210C3C" w:rsidRDefault="00210C3C" w:rsidP="003523DB">
      <w:pPr>
        <w:pStyle w:val="Heading1"/>
        <w:rPr>
          <w:rFonts w:asciiTheme="minorHAnsi" w:hAnsiTheme="minorHAnsi" w:cstheme="minorHAnsi"/>
          <w:sz w:val="24"/>
          <w:szCs w:val="24"/>
        </w:rPr>
      </w:pPr>
    </w:p>
    <w:p w:rsidR="00210C3C" w:rsidRDefault="00210C3C" w:rsidP="003523DB">
      <w:pPr>
        <w:pStyle w:val="Heading1"/>
        <w:rPr>
          <w:rFonts w:asciiTheme="minorHAnsi" w:hAnsiTheme="minorHAnsi" w:cstheme="minorHAnsi"/>
          <w:sz w:val="24"/>
          <w:szCs w:val="24"/>
        </w:rPr>
      </w:pPr>
    </w:p>
    <w:p w:rsidR="003523DB" w:rsidRPr="003523DB" w:rsidRDefault="003523DB" w:rsidP="003523DB">
      <w:pPr>
        <w:pStyle w:val="Heading1"/>
        <w:rPr>
          <w:rFonts w:asciiTheme="minorHAnsi" w:hAnsiTheme="minorHAnsi" w:cstheme="minorHAnsi"/>
          <w:sz w:val="24"/>
          <w:szCs w:val="24"/>
        </w:rPr>
      </w:pPr>
      <w:r w:rsidRPr="003523DB">
        <w:rPr>
          <w:rFonts w:asciiTheme="minorHAnsi" w:hAnsiTheme="minorHAnsi" w:cstheme="minorHAnsi"/>
          <w:sz w:val="24"/>
          <w:szCs w:val="24"/>
        </w:rPr>
        <w:t>3. Action plan</w:t>
      </w:r>
      <w:bookmarkEnd w:id="3"/>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 xml:space="preserve">This action plan sets out the aims of our accessibility plan in accordance with the Equality Act 2010. </w:t>
      </w:r>
    </w:p>
    <w:p w:rsidR="003523DB" w:rsidRPr="003523DB" w:rsidRDefault="003523DB" w:rsidP="003523DB">
      <w:pPr>
        <w:rPr>
          <w:rFonts w:asciiTheme="minorHAnsi" w:hAnsiTheme="minorHAnsi" w:cstheme="minorHAnsi"/>
          <w:sz w:val="24"/>
          <w:szCs w:val="24"/>
        </w:rPr>
      </w:pPr>
    </w:p>
    <w:tbl>
      <w:tblPr>
        <w:tblW w:w="0" w:type="auto"/>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985"/>
        <w:gridCol w:w="3260"/>
        <w:gridCol w:w="2410"/>
        <w:gridCol w:w="2405"/>
        <w:gridCol w:w="1564"/>
        <w:gridCol w:w="1276"/>
        <w:gridCol w:w="2268"/>
      </w:tblGrid>
      <w:tr w:rsidR="003523DB" w:rsidRPr="003523DB" w:rsidTr="003523DB">
        <w:trPr>
          <w:trHeight w:val="27"/>
        </w:trPr>
        <w:tc>
          <w:tcPr>
            <w:tcW w:w="1985" w:type="dxa"/>
            <w:tcBorders>
              <w:top w:val="single" w:sz="18" w:space="0" w:color="BFBFBF"/>
              <w:left w:val="single" w:sz="18" w:space="0" w:color="BFBFBF"/>
              <w:bottom w:val="single" w:sz="18" w:space="0" w:color="BFBFBF"/>
              <w:right w:val="single" w:sz="18" w:space="0" w:color="BFBFBF"/>
            </w:tcBorders>
            <w:shd w:val="clear" w:color="auto" w:fill="BFBFBF"/>
            <w:hideMark/>
          </w:tcPr>
          <w:p w:rsidR="003523DB" w:rsidRPr="003523DB" w:rsidRDefault="003523DB">
            <w:pPr>
              <w:jc w:val="center"/>
              <w:rPr>
                <w:rFonts w:asciiTheme="minorHAnsi" w:hAnsiTheme="minorHAnsi" w:cstheme="minorHAnsi"/>
                <w:b/>
                <w:sz w:val="24"/>
                <w:szCs w:val="24"/>
              </w:rPr>
            </w:pPr>
            <w:r w:rsidRPr="003523DB">
              <w:rPr>
                <w:rFonts w:asciiTheme="minorHAnsi" w:hAnsiTheme="minorHAnsi" w:cstheme="minorHAnsi"/>
                <w:b/>
                <w:sz w:val="24"/>
                <w:szCs w:val="24"/>
              </w:rPr>
              <w:t>Aim</w:t>
            </w:r>
          </w:p>
        </w:tc>
        <w:tc>
          <w:tcPr>
            <w:tcW w:w="3260" w:type="dxa"/>
            <w:tcBorders>
              <w:top w:val="single" w:sz="18" w:space="0" w:color="BFBFBF"/>
              <w:left w:val="single" w:sz="18" w:space="0" w:color="BFBFBF"/>
              <w:bottom w:val="single" w:sz="18" w:space="0" w:color="BFBFBF"/>
              <w:right w:val="single" w:sz="18" w:space="0" w:color="BFBFBF"/>
            </w:tcBorders>
            <w:shd w:val="clear" w:color="auto" w:fill="BFBFBF"/>
          </w:tcPr>
          <w:p w:rsidR="003523DB" w:rsidRPr="003523DB" w:rsidRDefault="003523DB">
            <w:pPr>
              <w:jc w:val="center"/>
              <w:rPr>
                <w:rFonts w:asciiTheme="minorHAnsi" w:hAnsiTheme="minorHAnsi" w:cstheme="minorHAnsi"/>
                <w:b/>
                <w:sz w:val="24"/>
                <w:szCs w:val="24"/>
              </w:rPr>
            </w:pPr>
            <w:r w:rsidRPr="003523DB">
              <w:rPr>
                <w:rFonts w:asciiTheme="minorHAnsi" w:hAnsiTheme="minorHAnsi" w:cstheme="minorHAnsi"/>
                <w:b/>
                <w:sz w:val="24"/>
                <w:szCs w:val="24"/>
              </w:rPr>
              <w:t>Current good practice</w:t>
            </w:r>
          </w:p>
          <w:p w:rsidR="003523DB" w:rsidRPr="003523DB" w:rsidRDefault="003523DB">
            <w:pPr>
              <w:jc w:val="center"/>
              <w:rPr>
                <w:rFonts w:asciiTheme="minorHAnsi" w:hAnsiTheme="minorHAnsi" w:cstheme="minorHAnsi"/>
                <w:i/>
                <w:sz w:val="24"/>
                <w:szCs w:val="24"/>
              </w:rPr>
            </w:pPr>
            <w:r w:rsidRPr="003523DB">
              <w:rPr>
                <w:rFonts w:asciiTheme="minorHAnsi" w:hAnsiTheme="minorHAnsi" w:cstheme="minorHAnsi"/>
                <w:i/>
                <w:sz w:val="24"/>
                <w:szCs w:val="24"/>
              </w:rPr>
              <w:t>Include established practice and practice under development</w:t>
            </w:r>
          </w:p>
          <w:p w:rsidR="003523DB" w:rsidRPr="003523DB" w:rsidRDefault="003523DB">
            <w:pPr>
              <w:jc w:val="center"/>
              <w:rPr>
                <w:rFonts w:asciiTheme="minorHAnsi" w:hAnsiTheme="minorHAnsi" w:cstheme="minorHAnsi"/>
                <w:b/>
                <w:sz w:val="24"/>
                <w:szCs w:val="24"/>
              </w:rPr>
            </w:pPr>
          </w:p>
        </w:tc>
        <w:tc>
          <w:tcPr>
            <w:tcW w:w="2410" w:type="dxa"/>
            <w:tcBorders>
              <w:top w:val="single" w:sz="18" w:space="0" w:color="BFBFBF"/>
              <w:left w:val="single" w:sz="18" w:space="0" w:color="BFBFBF"/>
              <w:bottom w:val="single" w:sz="18" w:space="0" w:color="BFBFBF"/>
              <w:right w:val="single" w:sz="18" w:space="0" w:color="BFBFBF"/>
            </w:tcBorders>
            <w:shd w:val="clear" w:color="auto" w:fill="BFBFBF"/>
            <w:hideMark/>
          </w:tcPr>
          <w:p w:rsidR="003523DB" w:rsidRPr="003523DB" w:rsidRDefault="003523DB">
            <w:pPr>
              <w:jc w:val="center"/>
              <w:rPr>
                <w:rFonts w:asciiTheme="minorHAnsi" w:hAnsiTheme="minorHAnsi" w:cstheme="minorHAnsi"/>
                <w:b/>
                <w:sz w:val="24"/>
                <w:szCs w:val="24"/>
              </w:rPr>
            </w:pPr>
            <w:r w:rsidRPr="003523DB">
              <w:rPr>
                <w:rFonts w:asciiTheme="minorHAnsi" w:hAnsiTheme="minorHAnsi" w:cstheme="minorHAnsi"/>
                <w:b/>
                <w:sz w:val="24"/>
                <w:szCs w:val="24"/>
              </w:rPr>
              <w:t>Objectives</w:t>
            </w:r>
          </w:p>
          <w:p w:rsidR="003523DB" w:rsidRPr="003523DB" w:rsidRDefault="003523DB">
            <w:pPr>
              <w:jc w:val="center"/>
              <w:rPr>
                <w:rFonts w:asciiTheme="minorHAnsi" w:hAnsiTheme="minorHAnsi" w:cstheme="minorHAnsi"/>
                <w:sz w:val="24"/>
                <w:szCs w:val="24"/>
              </w:rPr>
            </w:pPr>
            <w:r w:rsidRPr="003523DB">
              <w:rPr>
                <w:rFonts w:asciiTheme="minorHAnsi" w:hAnsiTheme="minorHAnsi" w:cstheme="minorHAnsi"/>
                <w:i/>
                <w:sz w:val="24"/>
                <w:szCs w:val="24"/>
              </w:rPr>
              <w:t>State short, medium and long-term objectives</w:t>
            </w:r>
          </w:p>
        </w:tc>
        <w:tc>
          <w:tcPr>
            <w:tcW w:w="2405" w:type="dxa"/>
            <w:tcBorders>
              <w:top w:val="single" w:sz="18" w:space="0" w:color="BFBFBF"/>
              <w:left w:val="single" w:sz="18" w:space="0" w:color="BFBFBF"/>
              <w:bottom w:val="single" w:sz="18" w:space="0" w:color="BFBFBF"/>
              <w:right w:val="single" w:sz="18" w:space="0" w:color="BFBFBF"/>
            </w:tcBorders>
            <w:shd w:val="clear" w:color="auto" w:fill="BFBFBF"/>
            <w:hideMark/>
          </w:tcPr>
          <w:p w:rsidR="003523DB" w:rsidRPr="003523DB" w:rsidRDefault="003523DB">
            <w:pPr>
              <w:jc w:val="center"/>
              <w:rPr>
                <w:rFonts w:asciiTheme="minorHAnsi" w:hAnsiTheme="minorHAnsi" w:cstheme="minorHAnsi"/>
                <w:b/>
                <w:sz w:val="24"/>
                <w:szCs w:val="24"/>
              </w:rPr>
            </w:pPr>
            <w:r w:rsidRPr="003523DB">
              <w:rPr>
                <w:rFonts w:asciiTheme="minorHAnsi" w:hAnsiTheme="minorHAnsi" w:cstheme="minorHAnsi"/>
                <w:b/>
                <w:sz w:val="24"/>
                <w:szCs w:val="24"/>
              </w:rPr>
              <w:t>Actions to be taken</w:t>
            </w:r>
          </w:p>
        </w:tc>
        <w:tc>
          <w:tcPr>
            <w:tcW w:w="1564" w:type="dxa"/>
            <w:tcBorders>
              <w:top w:val="single" w:sz="18" w:space="0" w:color="BFBFBF"/>
              <w:left w:val="single" w:sz="18" w:space="0" w:color="BFBFBF"/>
              <w:bottom w:val="single" w:sz="18" w:space="0" w:color="BFBFBF"/>
              <w:right w:val="single" w:sz="18" w:space="0" w:color="BFBFBF"/>
            </w:tcBorders>
            <w:shd w:val="clear" w:color="auto" w:fill="BFBFBF"/>
            <w:hideMark/>
          </w:tcPr>
          <w:p w:rsidR="003523DB" w:rsidRPr="003523DB" w:rsidRDefault="003523DB">
            <w:pPr>
              <w:jc w:val="center"/>
              <w:rPr>
                <w:rFonts w:asciiTheme="minorHAnsi" w:hAnsiTheme="minorHAnsi" w:cstheme="minorHAnsi"/>
                <w:b/>
                <w:sz w:val="24"/>
                <w:szCs w:val="24"/>
              </w:rPr>
            </w:pPr>
            <w:r w:rsidRPr="003523DB">
              <w:rPr>
                <w:rFonts w:asciiTheme="minorHAnsi" w:hAnsiTheme="minorHAnsi" w:cstheme="minorHAnsi"/>
                <w:b/>
                <w:sz w:val="24"/>
                <w:szCs w:val="24"/>
              </w:rPr>
              <w:t>Person responsible</w:t>
            </w:r>
          </w:p>
        </w:tc>
        <w:tc>
          <w:tcPr>
            <w:tcW w:w="1276" w:type="dxa"/>
            <w:tcBorders>
              <w:top w:val="single" w:sz="18" w:space="0" w:color="BFBFBF"/>
              <w:left w:val="single" w:sz="18" w:space="0" w:color="BFBFBF"/>
              <w:bottom w:val="single" w:sz="18" w:space="0" w:color="BFBFBF"/>
              <w:right w:val="single" w:sz="18" w:space="0" w:color="BFBFBF"/>
            </w:tcBorders>
            <w:shd w:val="clear" w:color="auto" w:fill="BFBFBF"/>
            <w:hideMark/>
          </w:tcPr>
          <w:p w:rsidR="003523DB" w:rsidRPr="003523DB" w:rsidRDefault="003523DB">
            <w:pPr>
              <w:jc w:val="center"/>
              <w:rPr>
                <w:rFonts w:asciiTheme="minorHAnsi" w:hAnsiTheme="minorHAnsi" w:cstheme="minorHAnsi"/>
                <w:b/>
                <w:sz w:val="24"/>
                <w:szCs w:val="24"/>
              </w:rPr>
            </w:pPr>
            <w:r w:rsidRPr="003523DB">
              <w:rPr>
                <w:rFonts w:asciiTheme="minorHAnsi" w:hAnsiTheme="minorHAnsi" w:cstheme="minorHAnsi"/>
                <w:b/>
                <w:sz w:val="24"/>
                <w:szCs w:val="24"/>
              </w:rPr>
              <w:t>Date to complete actions by</w:t>
            </w:r>
          </w:p>
        </w:tc>
        <w:tc>
          <w:tcPr>
            <w:tcW w:w="2268" w:type="dxa"/>
            <w:tcBorders>
              <w:top w:val="single" w:sz="18" w:space="0" w:color="BFBFBF"/>
              <w:left w:val="single" w:sz="18" w:space="0" w:color="BFBFBF"/>
              <w:bottom w:val="single" w:sz="18" w:space="0" w:color="BFBFBF"/>
              <w:right w:val="single" w:sz="18" w:space="0" w:color="BFBFBF"/>
            </w:tcBorders>
            <w:shd w:val="clear" w:color="auto" w:fill="BFBFBF"/>
            <w:hideMark/>
          </w:tcPr>
          <w:p w:rsidR="003523DB" w:rsidRPr="003523DB" w:rsidRDefault="00CB2522">
            <w:pPr>
              <w:jc w:val="center"/>
              <w:rPr>
                <w:rFonts w:asciiTheme="minorHAnsi" w:hAnsiTheme="minorHAnsi" w:cstheme="minorHAnsi"/>
                <w:b/>
                <w:sz w:val="24"/>
                <w:szCs w:val="24"/>
              </w:rPr>
            </w:pPr>
            <w:r>
              <w:rPr>
                <w:rFonts w:asciiTheme="minorHAnsi" w:hAnsiTheme="minorHAnsi" w:cstheme="minorHAnsi"/>
                <w:b/>
                <w:sz w:val="24"/>
                <w:szCs w:val="24"/>
              </w:rPr>
              <w:t>Monitoring</w:t>
            </w:r>
          </w:p>
        </w:tc>
      </w:tr>
      <w:tr w:rsidR="003523DB" w:rsidRPr="003523DB" w:rsidTr="003523DB">
        <w:tc>
          <w:tcPr>
            <w:tcW w:w="1985" w:type="dxa"/>
            <w:tcBorders>
              <w:top w:val="single" w:sz="18" w:space="0" w:color="BFBFBF"/>
              <w:left w:val="single" w:sz="18" w:space="0" w:color="BFBFBF"/>
              <w:bottom w:val="single" w:sz="18" w:space="0" w:color="BFBFBF"/>
              <w:right w:val="single" w:sz="18" w:space="0" w:color="BFBFBF"/>
            </w:tcBorders>
            <w:hideMark/>
          </w:tcPr>
          <w:p w:rsidR="003523DB" w:rsidRPr="003523DB" w:rsidRDefault="003523DB">
            <w:pPr>
              <w:rPr>
                <w:rFonts w:asciiTheme="minorHAnsi" w:hAnsiTheme="minorHAnsi" w:cstheme="minorHAnsi"/>
                <w:sz w:val="24"/>
                <w:szCs w:val="24"/>
              </w:rPr>
            </w:pPr>
            <w:r w:rsidRPr="003523DB">
              <w:rPr>
                <w:rFonts w:asciiTheme="minorHAnsi" w:hAnsiTheme="minorHAnsi" w:cstheme="minorHAnsi"/>
                <w:sz w:val="24"/>
                <w:szCs w:val="24"/>
              </w:rPr>
              <w:t>Increase access to the curriculum for pupils with a disability</w:t>
            </w:r>
          </w:p>
        </w:tc>
        <w:tc>
          <w:tcPr>
            <w:tcW w:w="3260" w:type="dxa"/>
            <w:tcBorders>
              <w:top w:val="single" w:sz="18" w:space="0" w:color="BFBFBF"/>
              <w:left w:val="single" w:sz="18" w:space="0" w:color="BFBFBF"/>
              <w:bottom w:val="single" w:sz="18" w:space="0" w:color="BFBFBF"/>
              <w:right w:val="single" w:sz="18" w:space="0" w:color="BFBFBF"/>
            </w:tcBorders>
            <w:hideMark/>
          </w:tcPr>
          <w:p w:rsidR="00284AE3" w:rsidRPr="00284AE3" w:rsidRDefault="00284AE3">
            <w:pPr>
              <w:pStyle w:val="Caption1"/>
              <w:rPr>
                <w:rFonts w:asciiTheme="minorHAnsi" w:hAnsiTheme="minorHAnsi" w:cstheme="minorHAnsi"/>
                <w:b/>
                <w:i w:val="0"/>
                <w:color w:val="auto"/>
                <w:sz w:val="24"/>
              </w:rPr>
            </w:pPr>
            <w:r w:rsidRPr="00284AE3">
              <w:rPr>
                <w:rFonts w:asciiTheme="minorHAnsi" w:hAnsiTheme="minorHAnsi" w:cstheme="minorHAnsi"/>
                <w:b/>
                <w:i w:val="0"/>
                <w:color w:val="auto"/>
                <w:sz w:val="24"/>
              </w:rPr>
              <w:t>Good Practice</w:t>
            </w:r>
          </w:p>
          <w:p w:rsidR="00251032" w:rsidRDefault="003212BB">
            <w:pPr>
              <w:pStyle w:val="Caption1"/>
              <w:rPr>
                <w:rFonts w:asciiTheme="minorHAnsi" w:hAnsiTheme="minorHAnsi" w:cstheme="minorHAnsi"/>
                <w:i w:val="0"/>
                <w:color w:val="auto"/>
                <w:sz w:val="24"/>
              </w:rPr>
            </w:pPr>
            <w:r>
              <w:rPr>
                <w:rFonts w:asciiTheme="minorHAnsi" w:hAnsiTheme="minorHAnsi" w:cstheme="minorHAnsi"/>
                <w:i w:val="0"/>
                <w:color w:val="auto"/>
                <w:sz w:val="24"/>
              </w:rPr>
              <w:t xml:space="preserve">Our school offers flexible pathways for all students to suit their needs.  Subject loading can be reduced to allow for additional physical or learning </w:t>
            </w:r>
            <w:r w:rsidR="00251032">
              <w:rPr>
                <w:rFonts w:asciiTheme="minorHAnsi" w:hAnsiTheme="minorHAnsi" w:cstheme="minorHAnsi"/>
                <w:i w:val="0"/>
                <w:color w:val="auto"/>
                <w:sz w:val="24"/>
              </w:rPr>
              <w:t>n</w:t>
            </w:r>
            <w:r>
              <w:rPr>
                <w:rFonts w:asciiTheme="minorHAnsi" w:hAnsiTheme="minorHAnsi" w:cstheme="minorHAnsi"/>
                <w:i w:val="0"/>
                <w:color w:val="auto"/>
                <w:sz w:val="24"/>
              </w:rPr>
              <w:t xml:space="preserve">eeds to be met. </w:t>
            </w:r>
          </w:p>
          <w:p w:rsidR="003523DB" w:rsidRPr="003212BB" w:rsidRDefault="00251032">
            <w:pPr>
              <w:pStyle w:val="Caption1"/>
              <w:rPr>
                <w:rFonts w:asciiTheme="minorHAnsi" w:hAnsiTheme="minorHAnsi" w:cstheme="minorHAnsi"/>
                <w:i w:val="0"/>
                <w:color w:val="auto"/>
                <w:sz w:val="24"/>
              </w:rPr>
            </w:pPr>
            <w:r>
              <w:rPr>
                <w:rFonts w:asciiTheme="minorHAnsi" w:hAnsiTheme="minorHAnsi" w:cstheme="minorHAnsi"/>
                <w:i w:val="0"/>
                <w:color w:val="auto"/>
                <w:sz w:val="24"/>
              </w:rPr>
              <w:t>Learning is differentiated to ensure all students can access and the learning make the desired progress.</w:t>
            </w:r>
          </w:p>
          <w:p w:rsidR="003B7156" w:rsidRDefault="003523DB">
            <w:pPr>
              <w:pStyle w:val="Caption1"/>
              <w:rPr>
                <w:rFonts w:asciiTheme="minorHAnsi" w:hAnsiTheme="minorHAnsi" w:cstheme="minorHAnsi"/>
                <w:i w:val="0"/>
                <w:color w:val="auto"/>
                <w:sz w:val="24"/>
              </w:rPr>
            </w:pPr>
            <w:r w:rsidRPr="00251032">
              <w:rPr>
                <w:rFonts w:asciiTheme="minorHAnsi" w:hAnsiTheme="minorHAnsi" w:cstheme="minorHAnsi"/>
                <w:i w:val="0"/>
                <w:color w:val="auto"/>
                <w:sz w:val="24"/>
              </w:rPr>
              <w:t xml:space="preserve">We use resources tailored to the needs of pupils who require support to access the </w:t>
            </w:r>
          </w:p>
          <w:p w:rsidR="003B7156" w:rsidRDefault="003B7156">
            <w:pPr>
              <w:pStyle w:val="Caption1"/>
              <w:rPr>
                <w:rFonts w:asciiTheme="minorHAnsi" w:hAnsiTheme="minorHAnsi" w:cstheme="minorHAnsi"/>
                <w:i w:val="0"/>
                <w:color w:val="auto"/>
                <w:sz w:val="24"/>
              </w:rPr>
            </w:pPr>
          </w:p>
          <w:p w:rsidR="003B7156" w:rsidRDefault="003B7156">
            <w:pPr>
              <w:pStyle w:val="Caption1"/>
              <w:rPr>
                <w:rFonts w:asciiTheme="minorHAnsi" w:hAnsiTheme="minorHAnsi" w:cstheme="minorHAnsi"/>
                <w:i w:val="0"/>
                <w:color w:val="auto"/>
                <w:sz w:val="24"/>
              </w:rPr>
            </w:pPr>
          </w:p>
          <w:p w:rsidR="003B7156" w:rsidRDefault="003B7156">
            <w:pPr>
              <w:pStyle w:val="Caption1"/>
              <w:rPr>
                <w:rFonts w:asciiTheme="minorHAnsi" w:hAnsiTheme="minorHAnsi" w:cstheme="minorHAnsi"/>
                <w:i w:val="0"/>
                <w:color w:val="auto"/>
                <w:sz w:val="24"/>
              </w:rPr>
            </w:pPr>
          </w:p>
          <w:p w:rsidR="003523DB" w:rsidRPr="00CB2522" w:rsidRDefault="003523DB">
            <w:pPr>
              <w:pStyle w:val="Caption1"/>
              <w:rPr>
                <w:rFonts w:asciiTheme="minorHAnsi" w:hAnsiTheme="minorHAnsi" w:cstheme="minorHAnsi"/>
                <w:i w:val="0"/>
                <w:color w:val="auto"/>
                <w:sz w:val="24"/>
              </w:rPr>
            </w:pPr>
            <w:proofErr w:type="gramStart"/>
            <w:r w:rsidRPr="00251032">
              <w:rPr>
                <w:rFonts w:asciiTheme="minorHAnsi" w:hAnsiTheme="minorHAnsi" w:cstheme="minorHAnsi"/>
                <w:i w:val="0"/>
                <w:color w:val="auto"/>
                <w:sz w:val="24"/>
              </w:rPr>
              <w:t>curriculum</w:t>
            </w:r>
            <w:proofErr w:type="gramEnd"/>
            <w:r w:rsidRPr="00251032">
              <w:rPr>
                <w:rFonts w:asciiTheme="minorHAnsi" w:hAnsiTheme="minorHAnsi" w:cstheme="minorHAnsi"/>
                <w:i w:val="0"/>
                <w:color w:val="auto"/>
                <w:sz w:val="24"/>
              </w:rPr>
              <w:t>.</w:t>
            </w:r>
            <w:r w:rsidR="003B7156">
              <w:rPr>
                <w:rFonts w:asciiTheme="minorHAnsi" w:hAnsiTheme="minorHAnsi" w:cstheme="minorHAnsi"/>
                <w:i w:val="0"/>
                <w:color w:val="auto"/>
                <w:sz w:val="24"/>
              </w:rPr>
              <w:t xml:space="preserve"> Curriculum resources include </w:t>
            </w:r>
            <w:r w:rsidR="002875E1">
              <w:rPr>
                <w:rFonts w:asciiTheme="minorHAnsi" w:hAnsiTheme="minorHAnsi" w:cstheme="minorHAnsi"/>
                <w:i w:val="0"/>
                <w:color w:val="auto"/>
                <w:sz w:val="24"/>
              </w:rPr>
              <w:t xml:space="preserve">personalized laptops, additional coaching, </w:t>
            </w:r>
            <w:proofErr w:type="gramStart"/>
            <w:r w:rsidR="00284AE3">
              <w:rPr>
                <w:rFonts w:asciiTheme="minorHAnsi" w:hAnsiTheme="minorHAnsi" w:cstheme="minorHAnsi"/>
                <w:i w:val="0"/>
                <w:color w:val="auto"/>
                <w:sz w:val="24"/>
              </w:rPr>
              <w:t>tailored</w:t>
            </w:r>
            <w:proofErr w:type="gramEnd"/>
            <w:r w:rsidR="00284AE3">
              <w:rPr>
                <w:rFonts w:asciiTheme="minorHAnsi" w:hAnsiTheme="minorHAnsi" w:cstheme="minorHAnsi"/>
                <w:i w:val="0"/>
                <w:color w:val="auto"/>
                <w:sz w:val="24"/>
              </w:rPr>
              <w:t xml:space="preserve"> reading materials.</w:t>
            </w:r>
          </w:p>
          <w:p w:rsidR="003523DB" w:rsidRPr="00CB2522" w:rsidRDefault="003523DB">
            <w:pPr>
              <w:pStyle w:val="Caption1"/>
              <w:rPr>
                <w:rFonts w:asciiTheme="minorHAnsi" w:hAnsiTheme="minorHAnsi" w:cstheme="minorHAnsi"/>
                <w:i w:val="0"/>
                <w:color w:val="auto"/>
                <w:sz w:val="24"/>
              </w:rPr>
            </w:pPr>
            <w:r w:rsidRPr="00CB2522">
              <w:rPr>
                <w:rFonts w:asciiTheme="minorHAnsi" w:hAnsiTheme="minorHAnsi" w:cstheme="minorHAnsi"/>
                <w:i w:val="0"/>
                <w:color w:val="auto"/>
                <w:sz w:val="24"/>
              </w:rPr>
              <w:t>Curriculum progress is tracked for all pupils, including those with a disability.</w:t>
            </w:r>
          </w:p>
          <w:p w:rsidR="003523DB" w:rsidRPr="00CB2522" w:rsidRDefault="003523DB">
            <w:pPr>
              <w:pStyle w:val="Caption1"/>
              <w:rPr>
                <w:rFonts w:asciiTheme="minorHAnsi" w:hAnsiTheme="minorHAnsi" w:cstheme="minorHAnsi"/>
                <w:i w:val="0"/>
                <w:color w:val="auto"/>
                <w:sz w:val="24"/>
              </w:rPr>
            </w:pPr>
            <w:r w:rsidRPr="00CB2522">
              <w:rPr>
                <w:rFonts w:asciiTheme="minorHAnsi" w:hAnsiTheme="minorHAnsi" w:cstheme="minorHAnsi"/>
                <w:i w:val="0"/>
                <w:color w:val="auto"/>
                <w:sz w:val="24"/>
              </w:rPr>
              <w:t xml:space="preserve">Targets are set effectively and are appropriate for pupils with additional needs. </w:t>
            </w:r>
          </w:p>
          <w:p w:rsidR="003523DB" w:rsidRPr="00CB2522" w:rsidRDefault="003523DB">
            <w:pPr>
              <w:pStyle w:val="Caption1"/>
              <w:rPr>
                <w:rFonts w:asciiTheme="minorHAnsi" w:hAnsiTheme="minorHAnsi" w:cstheme="minorHAnsi"/>
                <w:i w:val="0"/>
                <w:sz w:val="24"/>
              </w:rPr>
            </w:pPr>
            <w:r w:rsidRPr="00CB2522">
              <w:rPr>
                <w:rFonts w:asciiTheme="minorHAnsi" w:hAnsiTheme="minorHAnsi" w:cstheme="minorHAnsi"/>
                <w:i w:val="0"/>
                <w:color w:val="auto"/>
                <w:sz w:val="24"/>
              </w:rPr>
              <w:t xml:space="preserve">The curriculum is reviewed </w:t>
            </w:r>
            <w:r w:rsidR="00CB2522" w:rsidRPr="00CB2522">
              <w:rPr>
                <w:rFonts w:asciiTheme="minorHAnsi" w:hAnsiTheme="minorHAnsi" w:cstheme="minorHAnsi"/>
                <w:i w:val="0"/>
                <w:color w:val="auto"/>
                <w:sz w:val="24"/>
              </w:rPr>
              <w:t xml:space="preserve">annually </w:t>
            </w:r>
            <w:r w:rsidRPr="00CB2522">
              <w:rPr>
                <w:rFonts w:asciiTheme="minorHAnsi" w:hAnsiTheme="minorHAnsi" w:cstheme="minorHAnsi"/>
                <w:i w:val="0"/>
                <w:color w:val="auto"/>
                <w:sz w:val="24"/>
              </w:rPr>
              <w:t>to ensure it meets the needs of all pupils.</w:t>
            </w:r>
          </w:p>
        </w:tc>
        <w:tc>
          <w:tcPr>
            <w:tcW w:w="2410" w:type="dxa"/>
            <w:tcBorders>
              <w:top w:val="single" w:sz="18" w:space="0" w:color="BFBFBF"/>
              <w:left w:val="single" w:sz="18" w:space="0" w:color="BFBFBF"/>
              <w:bottom w:val="single" w:sz="18" w:space="0" w:color="BFBFBF"/>
              <w:right w:val="single" w:sz="18" w:space="0" w:color="BFBFBF"/>
            </w:tcBorders>
          </w:tcPr>
          <w:p w:rsidR="003523DB" w:rsidRDefault="009D4D3A" w:rsidP="00CF51AB">
            <w:pPr>
              <w:pStyle w:val="ListParagraph"/>
              <w:numPr>
                <w:ilvl w:val="0"/>
                <w:numId w:val="15"/>
              </w:numPr>
              <w:rPr>
                <w:rFonts w:asciiTheme="minorHAnsi" w:hAnsiTheme="minorHAnsi" w:cstheme="minorHAnsi"/>
              </w:rPr>
            </w:pPr>
            <w:r>
              <w:rPr>
                <w:rFonts w:asciiTheme="minorHAnsi" w:hAnsiTheme="minorHAnsi" w:cstheme="minorHAnsi"/>
              </w:rPr>
              <w:lastRenderedPageBreak/>
              <w:t xml:space="preserve">To </w:t>
            </w:r>
            <w:r w:rsidR="00CF51AB">
              <w:rPr>
                <w:rFonts w:asciiTheme="minorHAnsi" w:hAnsiTheme="minorHAnsi" w:cstheme="minorHAnsi"/>
              </w:rPr>
              <w:t xml:space="preserve">set up </w:t>
            </w:r>
            <w:r>
              <w:rPr>
                <w:rFonts w:asciiTheme="minorHAnsi" w:hAnsiTheme="minorHAnsi" w:cstheme="minorHAnsi"/>
              </w:rPr>
              <w:t>further avenues for widen</w:t>
            </w:r>
            <w:r w:rsidR="00672AE1">
              <w:rPr>
                <w:rFonts w:asciiTheme="minorHAnsi" w:hAnsiTheme="minorHAnsi" w:cstheme="minorHAnsi"/>
              </w:rPr>
              <w:t>ing our PE offer for non-ambulant</w:t>
            </w:r>
            <w:r w:rsidR="00CF51AB">
              <w:rPr>
                <w:rFonts w:asciiTheme="minorHAnsi" w:hAnsiTheme="minorHAnsi" w:cstheme="minorHAnsi"/>
              </w:rPr>
              <w:t xml:space="preserve"> </w:t>
            </w:r>
            <w:r w:rsidR="00672AE1">
              <w:rPr>
                <w:rFonts w:asciiTheme="minorHAnsi" w:hAnsiTheme="minorHAnsi" w:cstheme="minorHAnsi"/>
              </w:rPr>
              <w:t>students</w:t>
            </w:r>
            <w:r w:rsidR="00CF51AB">
              <w:rPr>
                <w:rFonts w:asciiTheme="minorHAnsi" w:hAnsiTheme="minorHAnsi" w:cstheme="minorHAnsi"/>
              </w:rPr>
              <w:t xml:space="preserve"> to increase participation in team sports.</w:t>
            </w:r>
            <w:r w:rsidR="00672AE1">
              <w:rPr>
                <w:rFonts w:asciiTheme="minorHAnsi" w:hAnsiTheme="minorHAnsi" w:cstheme="minorHAnsi"/>
              </w:rPr>
              <w:t xml:space="preserve"> </w:t>
            </w:r>
          </w:p>
          <w:p w:rsidR="005A0B4A" w:rsidRDefault="005A0B4A" w:rsidP="005A0B4A">
            <w:pPr>
              <w:rPr>
                <w:rFonts w:asciiTheme="minorHAnsi" w:hAnsiTheme="minorHAnsi" w:cstheme="minorHAnsi"/>
              </w:rPr>
            </w:pPr>
          </w:p>
          <w:p w:rsidR="005A0B4A" w:rsidRDefault="005A0B4A" w:rsidP="005A0B4A">
            <w:pPr>
              <w:rPr>
                <w:rFonts w:asciiTheme="minorHAnsi" w:hAnsiTheme="minorHAnsi" w:cstheme="minorHAnsi"/>
              </w:rPr>
            </w:pPr>
          </w:p>
          <w:p w:rsidR="005A0B4A" w:rsidRDefault="005A0B4A" w:rsidP="005A0B4A">
            <w:pPr>
              <w:rPr>
                <w:rFonts w:asciiTheme="minorHAnsi" w:hAnsiTheme="minorHAnsi" w:cstheme="minorHAnsi"/>
              </w:rPr>
            </w:pPr>
          </w:p>
          <w:p w:rsidR="005A0B4A" w:rsidRDefault="005A0B4A" w:rsidP="005A0B4A">
            <w:pPr>
              <w:rPr>
                <w:rFonts w:asciiTheme="minorHAnsi" w:hAnsiTheme="minorHAnsi" w:cstheme="minorHAnsi"/>
              </w:rPr>
            </w:pPr>
          </w:p>
          <w:p w:rsidR="00466506" w:rsidRDefault="005A0B4A" w:rsidP="005A0B4A">
            <w:pPr>
              <w:pStyle w:val="ListParagraph"/>
              <w:numPr>
                <w:ilvl w:val="0"/>
                <w:numId w:val="15"/>
              </w:numPr>
              <w:rPr>
                <w:rFonts w:asciiTheme="minorHAnsi" w:hAnsiTheme="minorHAnsi" w:cstheme="minorHAnsi"/>
              </w:rPr>
            </w:pPr>
            <w:r>
              <w:rPr>
                <w:rFonts w:asciiTheme="minorHAnsi" w:hAnsiTheme="minorHAnsi" w:cstheme="minorHAnsi"/>
              </w:rPr>
              <w:t xml:space="preserve">Ensure that time is given to pre </w:t>
            </w:r>
          </w:p>
          <w:p w:rsidR="00466506" w:rsidRDefault="00466506" w:rsidP="00466506">
            <w:pPr>
              <w:pStyle w:val="ListParagraph"/>
              <w:rPr>
                <w:rFonts w:asciiTheme="minorHAnsi" w:hAnsiTheme="minorHAnsi" w:cstheme="minorHAnsi"/>
              </w:rPr>
            </w:pPr>
          </w:p>
          <w:p w:rsidR="00466506" w:rsidRDefault="00466506" w:rsidP="00466506">
            <w:pPr>
              <w:pStyle w:val="ListParagraph"/>
              <w:rPr>
                <w:rFonts w:asciiTheme="minorHAnsi" w:hAnsiTheme="minorHAnsi" w:cstheme="minorHAnsi"/>
              </w:rPr>
            </w:pPr>
          </w:p>
          <w:p w:rsidR="00466506" w:rsidRDefault="00466506" w:rsidP="00466506">
            <w:pPr>
              <w:pStyle w:val="ListParagraph"/>
              <w:rPr>
                <w:rFonts w:asciiTheme="minorHAnsi" w:hAnsiTheme="minorHAnsi" w:cstheme="minorHAnsi"/>
              </w:rPr>
            </w:pPr>
          </w:p>
          <w:p w:rsidR="00466506" w:rsidRDefault="00466506" w:rsidP="00466506">
            <w:pPr>
              <w:pStyle w:val="ListParagraph"/>
              <w:rPr>
                <w:rFonts w:asciiTheme="minorHAnsi" w:hAnsiTheme="minorHAnsi" w:cstheme="minorHAnsi"/>
              </w:rPr>
            </w:pPr>
          </w:p>
          <w:p w:rsidR="005A0B4A" w:rsidRPr="005A0B4A" w:rsidRDefault="005A0B4A" w:rsidP="00466506">
            <w:pPr>
              <w:pStyle w:val="ListParagraph"/>
              <w:rPr>
                <w:rFonts w:asciiTheme="minorHAnsi" w:hAnsiTheme="minorHAnsi" w:cstheme="minorHAnsi"/>
              </w:rPr>
            </w:pPr>
            <w:proofErr w:type="gramStart"/>
            <w:r>
              <w:rPr>
                <w:rFonts w:asciiTheme="minorHAnsi" w:hAnsiTheme="minorHAnsi" w:cstheme="minorHAnsi"/>
              </w:rPr>
              <w:t>planning</w:t>
            </w:r>
            <w:proofErr w:type="gramEnd"/>
            <w:r>
              <w:rPr>
                <w:rFonts w:asciiTheme="minorHAnsi" w:hAnsiTheme="minorHAnsi" w:cstheme="minorHAnsi"/>
              </w:rPr>
              <w:t xml:space="preserve"> </w:t>
            </w:r>
            <w:proofErr w:type="spellStart"/>
            <w:r>
              <w:rPr>
                <w:rFonts w:asciiTheme="minorHAnsi" w:hAnsiTheme="minorHAnsi" w:cstheme="minorHAnsi"/>
              </w:rPr>
              <w:t>extra curricular</w:t>
            </w:r>
            <w:proofErr w:type="spellEnd"/>
            <w:r w:rsidR="008748E2">
              <w:rPr>
                <w:rFonts w:asciiTheme="minorHAnsi" w:hAnsiTheme="minorHAnsi" w:cstheme="minorHAnsi"/>
              </w:rPr>
              <w:t xml:space="preserve"> </w:t>
            </w:r>
            <w:r>
              <w:rPr>
                <w:rFonts w:asciiTheme="minorHAnsi" w:hAnsiTheme="minorHAnsi" w:cstheme="minorHAnsi"/>
              </w:rPr>
              <w:t xml:space="preserve">to  </w:t>
            </w:r>
            <w:r w:rsidR="008748E2">
              <w:rPr>
                <w:rFonts w:asciiTheme="minorHAnsi" w:hAnsiTheme="minorHAnsi" w:cstheme="minorHAnsi"/>
              </w:rPr>
              <w:t>maximise accessibility for those with specific disabilities.</w:t>
            </w:r>
          </w:p>
        </w:tc>
        <w:tc>
          <w:tcPr>
            <w:tcW w:w="2405" w:type="dxa"/>
            <w:tcBorders>
              <w:top w:val="single" w:sz="18" w:space="0" w:color="BFBFBF"/>
              <w:left w:val="single" w:sz="18" w:space="0" w:color="BFBFBF"/>
              <w:bottom w:val="single" w:sz="18" w:space="0" w:color="BFBFBF"/>
              <w:right w:val="single" w:sz="18" w:space="0" w:color="BFBFBF"/>
            </w:tcBorders>
          </w:tcPr>
          <w:p w:rsidR="003523DB" w:rsidRDefault="00CF51AB">
            <w:pPr>
              <w:rPr>
                <w:rFonts w:asciiTheme="minorHAnsi" w:hAnsiTheme="minorHAnsi" w:cstheme="minorHAnsi"/>
                <w:sz w:val="24"/>
                <w:szCs w:val="24"/>
              </w:rPr>
            </w:pPr>
            <w:r>
              <w:rPr>
                <w:rFonts w:asciiTheme="minorHAnsi" w:hAnsiTheme="minorHAnsi" w:cstheme="minorHAnsi"/>
                <w:sz w:val="24"/>
                <w:szCs w:val="24"/>
              </w:rPr>
              <w:lastRenderedPageBreak/>
              <w:t xml:space="preserve">Investigate development opportunities with </w:t>
            </w:r>
            <w:proofErr w:type="spellStart"/>
            <w:r>
              <w:rPr>
                <w:rFonts w:asciiTheme="minorHAnsi" w:hAnsiTheme="minorHAnsi" w:cstheme="minorHAnsi"/>
                <w:sz w:val="24"/>
                <w:szCs w:val="24"/>
              </w:rPr>
              <w:t>Springwest</w:t>
            </w:r>
            <w:proofErr w:type="spellEnd"/>
            <w:r>
              <w:rPr>
                <w:rFonts w:asciiTheme="minorHAnsi" w:hAnsiTheme="minorHAnsi" w:cstheme="minorHAnsi"/>
                <w:sz w:val="24"/>
                <w:szCs w:val="24"/>
              </w:rPr>
              <w:t xml:space="preserve"> PD Centre for shared games opportunities.</w:t>
            </w:r>
          </w:p>
          <w:p w:rsidR="00CF51AB" w:rsidRDefault="00CF51AB">
            <w:pPr>
              <w:rPr>
                <w:rFonts w:asciiTheme="minorHAnsi" w:hAnsiTheme="minorHAnsi" w:cstheme="minorHAnsi"/>
                <w:sz w:val="24"/>
                <w:szCs w:val="24"/>
              </w:rPr>
            </w:pPr>
          </w:p>
          <w:p w:rsidR="00080B4F" w:rsidRDefault="00080B4F">
            <w:pPr>
              <w:rPr>
                <w:rFonts w:asciiTheme="minorHAnsi" w:hAnsiTheme="minorHAnsi" w:cstheme="minorHAnsi"/>
                <w:sz w:val="24"/>
                <w:szCs w:val="24"/>
              </w:rPr>
            </w:pPr>
            <w:r>
              <w:rPr>
                <w:rFonts w:asciiTheme="minorHAnsi" w:hAnsiTheme="minorHAnsi" w:cstheme="minorHAnsi"/>
                <w:sz w:val="24"/>
                <w:szCs w:val="24"/>
              </w:rPr>
              <w:t>Investigate opportunities of working with Feltham Bees and their use of Tudor Park facilities</w:t>
            </w:r>
          </w:p>
          <w:p w:rsidR="008748E2" w:rsidRDefault="008748E2">
            <w:pPr>
              <w:rPr>
                <w:rFonts w:asciiTheme="minorHAnsi" w:hAnsiTheme="minorHAnsi" w:cstheme="minorHAnsi"/>
                <w:sz w:val="24"/>
                <w:szCs w:val="24"/>
              </w:rPr>
            </w:pPr>
          </w:p>
          <w:p w:rsidR="00466506" w:rsidRDefault="008748E2">
            <w:pPr>
              <w:rPr>
                <w:rFonts w:asciiTheme="minorHAnsi" w:hAnsiTheme="minorHAnsi" w:cstheme="minorHAnsi"/>
                <w:sz w:val="24"/>
                <w:szCs w:val="24"/>
              </w:rPr>
            </w:pPr>
            <w:r>
              <w:rPr>
                <w:rFonts w:asciiTheme="minorHAnsi" w:hAnsiTheme="minorHAnsi" w:cstheme="minorHAnsi"/>
                <w:sz w:val="24"/>
                <w:szCs w:val="24"/>
              </w:rPr>
              <w:t xml:space="preserve">Plan and risk assess extra offsite visits with individualised </w:t>
            </w:r>
          </w:p>
          <w:p w:rsidR="00466506" w:rsidRDefault="00466506">
            <w:pPr>
              <w:rPr>
                <w:rFonts w:asciiTheme="minorHAnsi" w:hAnsiTheme="minorHAnsi" w:cstheme="minorHAnsi"/>
                <w:sz w:val="24"/>
                <w:szCs w:val="24"/>
              </w:rPr>
            </w:pPr>
          </w:p>
          <w:p w:rsidR="00466506" w:rsidRDefault="00466506">
            <w:pPr>
              <w:rPr>
                <w:rFonts w:asciiTheme="minorHAnsi" w:hAnsiTheme="minorHAnsi" w:cstheme="minorHAnsi"/>
                <w:sz w:val="24"/>
                <w:szCs w:val="24"/>
              </w:rPr>
            </w:pPr>
          </w:p>
          <w:p w:rsidR="00466506" w:rsidRDefault="00466506">
            <w:pPr>
              <w:rPr>
                <w:rFonts w:asciiTheme="minorHAnsi" w:hAnsiTheme="minorHAnsi" w:cstheme="minorHAnsi"/>
                <w:sz w:val="24"/>
                <w:szCs w:val="24"/>
              </w:rPr>
            </w:pPr>
          </w:p>
          <w:p w:rsidR="00466506" w:rsidRDefault="00466506">
            <w:pPr>
              <w:rPr>
                <w:rFonts w:asciiTheme="minorHAnsi" w:hAnsiTheme="minorHAnsi" w:cstheme="minorHAnsi"/>
                <w:sz w:val="24"/>
                <w:szCs w:val="24"/>
              </w:rPr>
            </w:pPr>
          </w:p>
          <w:p w:rsidR="008748E2" w:rsidRPr="003523DB" w:rsidRDefault="008748E2">
            <w:pPr>
              <w:rPr>
                <w:rFonts w:asciiTheme="minorHAnsi" w:hAnsiTheme="minorHAnsi" w:cstheme="minorHAnsi"/>
                <w:sz w:val="24"/>
                <w:szCs w:val="24"/>
              </w:rPr>
            </w:pPr>
            <w:proofErr w:type="gramStart"/>
            <w:r>
              <w:rPr>
                <w:rFonts w:asciiTheme="minorHAnsi" w:hAnsiTheme="minorHAnsi" w:cstheme="minorHAnsi"/>
                <w:sz w:val="24"/>
                <w:szCs w:val="24"/>
              </w:rPr>
              <w:t>plan</w:t>
            </w:r>
            <w:proofErr w:type="gramEnd"/>
            <w:r>
              <w:rPr>
                <w:rFonts w:asciiTheme="minorHAnsi" w:hAnsiTheme="minorHAnsi" w:cstheme="minorHAnsi"/>
                <w:sz w:val="24"/>
                <w:szCs w:val="24"/>
              </w:rPr>
              <w:t xml:space="preserve"> for named students.</w:t>
            </w:r>
          </w:p>
        </w:tc>
        <w:tc>
          <w:tcPr>
            <w:tcW w:w="1564" w:type="dxa"/>
            <w:tcBorders>
              <w:top w:val="single" w:sz="18" w:space="0" w:color="BFBFBF"/>
              <w:left w:val="single" w:sz="18" w:space="0" w:color="BFBFBF"/>
              <w:bottom w:val="single" w:sz="18" w:space="0" w:color="BFBFBF"/>
              <w:right w:val="single" w:sz="18" w:space="0" w:color="BFBFBF"/>
            </w:tcBorders>
          </w:tcPr>
          <w:p w:rsidR="003523DB" w:rsidRDefault="00CF51AB">
            <w:pPr>
              <w:rPr>
                <w:rFonts w:asciiTheme="minorHAnsi" w:hAnsiTheme="minorHAnsi" w:cstheme="minorHAnsi"/>
                <w:sz w:val="24"/>
                <w:szCs w:val="24"/>
              </w:rPr>
            </w:pPr>
            <w:r>
              <w:rPr>
                <w:rFonts w:asciiTheme="minorHAnsi" w:hAnsiTheme="minorHAnsi" w:cstheme="minorHAnsi"/>
                <w:sz w:val="24"/>
                <w:szCs w:val="24"/>
              </w:rPr>
              <w:lastRenderedPageBreak/>
              <w:t>JCA</w:t>
            </w: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Pr="003523DB" w:rsidRDefault="00CB2522">
            <w:pPr>
              <w:rPr>
                <w:rFonts w:asciiTheme="minorHAnsi" w:hAnsiTheme="minorHAnsi" w:cstheme="minorHAnsi"/>
                <w:sz w:val="24"/>
                <w:szCs w:val="24"/>
              </w:rPr>
            </w:pPr>
            <w:r>
              <w:rPr>
                <w:rFonts w:asciiTheme="minorHAnsi" w:hAnsiTheme="minorHAnsi" w:cstheme="minorHAnsi"/>
                <w:sz w:val="24"/>
                <w:szCs w:val="24"/>
              </w:rPr>
              <w:t>JCA</w:t>
            </w:r>
          </w:p>
        </w:tc>
        <w:tc>
          <w:tcPr>
            <w:tcW w:w="1276" w:type="dxa"/>
            <w:tcBorders>
              <w:top w:val="single" w:sz="18" w:space="0" w:color="BFBFBF"/>
              <w:left w:val="single" w:sz="18" w:space="0" w:color="BFBFBF"/>
              <w:bottom w:val="single" w:sz="18" w:space="0" w:color="BFBFBF"/>
              <w:right w:val="single" w:sz="18" w:space="0" w:color="BFBFBF"/>
            </w:tcBorders>
          </w:tcPr>
          <w:p w:rsidR="003523DB" w:rsidRDefault="00080B4F">
            <w:pPr>
              <w:rPr>
                <w:rFonts w:asciiTheme="minorHAnsi" w:hAnsiTheme="minorHAnsi" w:cstheme="minorHAnsi"/>
                <w:sz w:val="24"/>
                <w:szCs w:val="24"/>
              </w:rPr>
            </w:pPr>
            <w:r>
              <w:rPr>
                <w:rFonts w:asciiTheme="minorHAnsi" w:hAnsiTheme="minorHAnsi" w:cstheme="minorHAnsi"/>
                <w:sz w:val="24"/>
                <w:szCs w:val="24"/>
              </w:rPr>
              <w:t>Spring 2019</w:t>
            </w: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Default="00CB2522">
            <w:pPr>
              <w:rPr>
                <w:rFonts w:asciiTheme="minorHAnsi" w:hAnsiTheme="minorHAnsi" w:cstheme="minorHAnsi"/>
                <w:sz w:val="24"/>
                <w:szCs w:val="24"/>
              </w:rPr>
            </w:pPr>
          </w:p>
          <w:p w:rsidR="00CB2522" w:rsidRPr="003523DB" w:rsidRDefault="00CB2522">
            <w:pPr>
              <w:rPr>
                <w:rFonts w:asciiTheme="minorHAnsi" w:hAnsiTheme="minorHAnsi" w:cstheme="minorHAnsi"/>
                <w:sz w:val="24"/>
                <w:szCs w:val="24"/>
              </w:rPr>
            </w:pPr>
            <w:r>
              <w:rPr>
                <w:rFonts w:asciiTheme="minorHAnsi" w:hAnsiTheme="minorHAnsi" w:cstheme="minorHAnsi"/>
                <w:sz w:val="24"/>
                <w:szCs w:val="24"/>
              </w:rPr>
              <w:t>Ongoing</w:t>
            </w:r>
          </w:p>
        </w:tc>
        <w:tc>
          <w:tcPr>
            <w:tcW w:w="2268"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r>
      <w:tr w:rsidR="003523DB" w:rsidRPr="003523DB" w:rsidTr="003523DB">
        <w:tc>
          <w:tcPr>
            <w:tcW w:w="1985" w:type="dxa"/>
            <w:tcBorders>
              <w:top w:val="single" w:sz="18" w:space="0" w:color="BFBFBF"/>
              <w:left w:val="single" w:sz="18" w:space="0" w:color="BFBFBF"/>
              <w:bottom w:val="single" w:sz="18" w:space="0" w:color="BFBFBF"/>
              <w:right w:val="single" w:sz="18" w:space="0" w:color="BFBFBF"/>
            </w:tcBorders>
            <w:hideMark/>
          </w:tcPr>
          <w:p w:rsidR="003523DB" w:rsidRPr="003523DB" w:rsidRDefault="003523DB">
            <w:pPr>
              <w:rPr>
                <w:rFonts w:asciiTheme="minorHAnsi" w:hAnsiTheme="minorHAnsi" w:cstheme="minorHAnsi"/>
                <w:sz w:val="24"/>
                <w:szCs w:val="24"/>
              </w:rPr>
            </w:pPr>
            <w:r w:rsidRPr="003523DB">
              <w:rPr>
                <w:rFonts w:asciiTheme="minorHAnsi" w:hAnsiTheme="minorHAnsi" w:cstheme="minorHAnsi"/>
                <w:sz w:val="24"/>
                <w:szCs w:val="24"/>
              </w:rPr>
              <w:t>Improve and maintain access to the physical environment</w:t>
            </w:r>
          </w:p>
        </w:tc>
        <w:tc>
          <w:tcPr>
            <w:tcW w:w="3260" w:type="dxa"/>
            <w:tcBorders>
              <w:top w:val="single" w:sz="18" w:space="0" w:color="BFBFBF"/>
              <w:left w:val="single" w:sz="18" w:space="0" w:color="BFBFBF"/>
              <w:bottom w:val="single" w:sz="18" w:space="0" w:color="BFBFBF"/>
              <w:right w:val="single" w:sz="18" w:space="0" w:color="BFBFBF"/>
            </w:tcBorders>
            <w:hideMark/>
          </w:tcPr>
          <w:p w:rsidR="003523DB" w:rsidRPr="0010610D" w:rsidRDefault="00EB5795">
            <w:pPr>
              <w:pStyle w:val="Caption1"/>
              <w:rPr>
                <w:rFonts w:asciiTheme="minorHAnsi" w:hAnsiTheme="minorHAnsi" w:cstheme="minorHAnsi"/>
                <w:i w:val="0"/>
                <w:color w:val="auto"/>
                <w:sz w:val="24"/>
                <w:lang w:val="en-GB"/>
              </w:rPr>
            </w:pPr>
            <w:r w:rsidRPr="0010610D">
              <w:rPr>
                <w:rFonts w:asciiTheme="minorHAnsi" w:hAnsiTheme="minorHAnsi" w:cstheme="minorHAnsi"/>
                <w:i w:val="0"/>
                <w:color w:val="auto"/>
                <w:sz w:val="24"/>
                <w:lang w:val="en-GB"/>
              </w:rPr>
              <w:t xml:space="preserve">The school has been newly refurbished </w:t>
            </w:r>
            <w:r w:rsidR="0010610D" w:rsidRPr="0010610D">
              <w:rPr>
                <w:rFonts w:asciiTheme="minorHAnsi" w:hAnsiTheme="minorHAnsi" w:cstheme="minorHAnsi"/>
                <w:i w:val="0"/>
                <w:color w:val="auto"/>
                <w:sz w:val="24"/>
                <w:lang w:val="en-GB"/>
              </w:rPr>
              <w:t xml:space="preserve">and fully meets the latest standards for access. </w:t>
            </w:r>
          </w:p>
          <w:p w:rsidR="003523DB" w:rsidRPr="003523DB" w:rsidRDefault="003523DB" w:rsidP="0010610D">
            <w:pPr>
              <w:pStyle w:val="Caption1"/>
              <w:ind w:left="720"/>
              <w:rPr>
                <w:rFonts w:asciiTheme="minorHAnsi" w:hAnsiTheme="minorHAnsi" w:cstheme="minorHAnsi"/>
                <w:sz w:val="24"/>
              </w:rPr>
            </w:pPr>
          </w:p>
        </w:tc>
        <w:tc>
          <w:tcPr>
            <w:tcW w:w="2410"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2405"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1564"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1276"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2268"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r>
      <w:tr w:rsidR="003523DB" w:rsidRPr="003523DB" w:rsidTr="00A84375">
        <w:tc>
          <w:tcPr>
            <w:tcW w:w="1985"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3260" w:type="dxa"/>
            <w:tcBorders>
              <w:top w:val="single" w:sz="18" w:space="0" w:color="BFBFBF"/>
              <w:left w:val="single" w:sz="18" w:space="0" w:color="BFBFBF"/>
              <w:bottom w:val="single" w:sz="18" w:space="0" w:color="BFBFBF"/>
              <w:right w:val="single" w:sz="18" w:space="0" w:color="BFBFBF"/>
            </w:tcBorders>
          </w:tcPr>
          <w:p w:rsidR="003523DB" w:rsidRPr="00614C4B" w:rsidRDefault="003523DB" w:rsidP="003523DB">
            <w:pPr>
              <w:pStyle w:val="Caption1"/>
              <w:numPr>
                <w:ilvl w:val="0"/>
                <w:numId w:val="13"/>
              </w:numPr>
              <w:rPr>
                <w:rFonts w:asciiTheme="minorHAnsi" w:hAnsiTheme="minorHAnsi" w:cstheme="minorHAnsi"/>
                <w:i w:val="0"/>
                <w:color w:val="auto"/>
                <w:sz w:val="24"/>
              </w:rPr>
            </w:pPr>
          </w:p>
        </w:tc>
        <w:tc>
          <w:tcPr>
            <w:tcW w:w="2410"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2405"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1564"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1276"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c>
          <w:tcPr>
            <w:tcW w:w="2268" w:type="dxa"/>
            <w:tcBorders>
              <w:top w:val="single" w:sz="18" w:space="0" w:color="BFBFBF"/>
              <w:left w:val="single" w:sz="18" w:space="0" w:color="BFBFBF"/>
              <w:bottom w:val="single" w:sz="18" w:space="0" w:color="BFBFBF"/>
              <w:right w:val="single" w:sz="18" w:space="0" w:color="BFBFBF"/>
            </w:tcBorders>
          </w:tcPr>
          <w:p w:rsidR="003523DB" w:rsidRPr="003523DB" w:rsidRDefault="003523DB">
            <w:pPr>
              <w:rPr>
                <w:rFonts w:asciiTheme="minorHAnsi" w:hAnsiTheme="minorHAnsi" w:cstheme="minorHAnsi"/>
                <w:sz w:val="24"/>
                <w:szCs w:val="24"/>
              </w:rPr>
            </w:pPr>
          </w:p>
        </w:tc>
      </w:tr>
    </w:tbl>
    <w:p w:rsidR="003523DB" w:rsidRPr="003523DB" w:rsidRDefault="003523DB" w:rsidP="003523DB">
      <w:pPr>
        <w:rPr>
          <w:rFonts w:asciiTheme="minorHAnsi" w:hAnsiTheme="minorHAnsi" w:cstheme="minorHAnsi"/>
          <w:sz w:val="24"/>
          <w:szCs w:val="24"/>
        </w:rPr>
        <w:sectPr w:rsidR="003523DB" w:rsidRPr="003523DB">
          <w:pgSz w:w="16840" w:h="11900" w:orient="landscape"/>
          <w:pgMar w:top="1134" w:right="851" w:bottom="1134" w:left="1134" w:header="567" w:footer="567" w:gutter="0"/>
          <w:cols w:space="720"/>
        </w:sectPr>
      </w:pPr>
    </w:p>
    <w:p w:rsidR="003523DB" w:rsidRPr="003523DB" w:rsidRDefault="003523DB" w:rsidP="003523DB">
      <w:pPr>
        <w:rPr>
          <w:rFonts w:asciiTheme="minorHAnsi" w:hAnsiTheme="minorHAnsi" w:cstheme="minorHAnsi"/>
          <w:sz w:val="24"/>
          <w:szCs w:val="24"/>
          <w:lang w:val="en-US" w:eastAsia="en-US"/>
        </w:rPr>
      </w:pPr>
    </w:p>
    <w:p w:rsidR="003523DB" w:rsidRPr="003523DB" w:rsidRDefault="003523DB" w:rsidP="003523DB">
      <w:pPr>
        <w:pStyle w:val="Heading1"/>
        <w:rPr>
          <w:rFonts w:asciiTheme="minorHAnsi" w:hAnsiTheme="minorHAnsi" w:cstheme="minorHAnsi"/>
          <w:sz w:val="24"/>
          <w:szCs w:val="24"/>
        </w:rPr>
      </w:pPr>
      <w:bookmarkStart w:id="4" w:name="_Toc491429311"/>
      <w:r w:rsidRPr="003523DB">
        <w:rPr>
          <w:rFonts w:asciiTheme="minorHAnsi" w:hAnsiTheme="minorHAnsi" w:cstheme="minorHAnsi"/>
          <w:sz w:val="24"/>
          <w:szCs w:val="24"/>
        </w:rPr>
        <w:t>4. Monitoring arrangements</w:t>
      </w:r>
      <w:bookmarkEnd w:id="4"/>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 xml:space="preserve">This document will be reviewed every </w:t>
      </w:r>
      <w:r w:rsidRPr="003523DB">
        <w:rPr>
          <w:rFonts w:asciiTheme="minorHAnsi" w:hAnsiTheme="minorHAnsi" w:cstheme="minorHAnsi"/>
          <w:b/>
          <w:sz w:val="24"/>
          <w:szCs w:val="24"/>
        </w:rPr>
        <w:t>3</w:t>
      </w:r>
      <w:r w:rsidRPr="003523DB">
        <w:rPr>
          <w:rFonts w:asciiTheme="minorHAnsi" w:hAnsiTheme="minorHAnsi" w:cstheme="minorHAnsi"/>
          <w:sz w:val="24"/>
          <w:szCs w:val="24"/>
        </w:rPr>
        <w:t xml:space="preserve"> years, but may be reviewed and updated more frequently if necessary. </w:t>
      </w:r>
    </w:p>
    <w:p w:rsidR="003523DB" w:rsidRPr="009F1E55" w:rsidRDefault="003523DB" w:rsidP="003523DB">
      <w:pPr>
        <w:rPr>
          <w:rFonts w:asciiTheme="minorHAnsi" w:hAnsiTheme="minorHAnsi" w:cstheme="minorHAnsi"/>
          <w:color w:val="auto"/>
          <w:sz w:val="24"/>
          <w:szCs w:val="24"/>
        </w:rPr>
      </w:pPr>
      <w:r w:rsidRPr="003523DB">
        <w:rPr>
          <w:rFonts w:asciiTheme="minorHAnsi" w:hAnsiTheme="minorHAnsi" w:cstheme="minorHAnsi"/>
          <w:sz w:val="24"/>
          <w:szCs w:val="24"/>
        </w:rPr>
        <w:t xml:space="preserve">It will be approved by </w:t>
      </w:r>
      <w:r w:rsidR="009F1E55" w:rsidRPr="009F1E55">
        <w:rPr>
          <w:rFonts w:asciiTheme="minorHAnsi" w:hAnsiTheme="minorHAnsi" w:cstheme="minorHAnsi"/>
          <w:color w:val="auto"/>
          <w:sz w:val="24"/>
          <w:szCs w:val="24"/>
        </w:rPr>
        <w:t>t</w:t>
      </w:r>
      <w:r w:rsidR="009F1E55">
        <w:rPr>
          <w:rFonts w:asciiTheme="minorHAnsi" w:hAnsiTheme="minorHAnsi" w:cstheme="minorHAnsi"/>
          <w:color w:val="auto"/>
          <w:sz w:val="24"/>
          <w:szCs w:val="24"/>
        </w:rPr>
        <w:t>he Local Governing Bod</w:t>
      </w:r>
      <w:r w:rsidR="009F1E55" w:rsidRPr="009F1E55">
        <w:rPr>
          <w:rFonts w:asciiTheme="minorHAnsi" w:hAnsiTheme="minorHAnsi" w:cstheme="minorHAnsi"/>
          <w:color w:val="auto"/>
          <w:sz w:val="24"/>
          <w:szCs w:val="24"/>
        </w:rPr>
        <w:t>y</w:t>
      </w:r>
    </w:p>
    <w:p w:rsidR="003523DB" w:rsidRPr="009F1E55" w:rsidRDefault="003523DB" w:rsidP="003523DB">
      <w:pPr>
        <w:pStyle w:val="Heading1"/>
        <w:rPr>
          <w:rFonts w:asciiTheme="minorHAnsi" w:hAnsiTheme="minorHAnsi" w:cstheme="minorHAnsi"/>
          <w:sz w:val="24"/>
          <w:szCs w:val="24"/>
        </w:rPr>
      </w:pPr>
      <w:bookmarkStart w:id="5" w:name="_Toc491429312"/>
      <w:r w:rsidRPr="009F1E55">
        <w:rPr>
          <w:rFonts w:asciiTheme="minorHAnsi" w:hAnsiTheme="minorHAnsi" w:cstheme="minorHAnsi"/>
          <w:sz w:val="24"/>
          <w:szCs w:val="24"/>
        </w:rPr>
        <w:t>5. Links with other policies</w:t>
      </w:r>
      <w:bookmarkEnd w:id="5"/>
    </w:p>
    <w:p w:rsidR="003523DB" w:rsidRPr="003523DB" w:rsidRDefault="003523DB" w:rsidP="003523DB">
      <w:pPr>
        <w:rPr>
          <w:rFonts w:asciiTheme="minorHAnsi" w:hAnsiTheme="minorHAnsi" w:cstheme="minorHAnsi"/>
          <w:sz w:val="24"/>
          <w:szCs w:val="24"/>
        </w:rPr>
      </w:pPr>
      <w:r w:rsidRPr="003523DB">
        <w:rPr>
          <w:rFonts w:asciiTheme="minorHAnsi" w:hAnsiTheme="minorHAnsi" w:cstheme="minorHAnsi"/>
          <w:sz w:val="24"/>
          <w:szCs w:val="24"/>
        </w:rPr>
        <w:t>This accessibility plan is linked to the following policies and documents:</w:t>
      </w:r>
    </w:p>
    <w:p w:rsidR="003523DB" w:rsidRPr="003523DB" w:rsidRDefault="003523DB" w:rsidP="003523DB">
      <w:pPr>
        <w:pStyle w:val="ListParagraph"/>
        <w:numPr>
          <w:ilvl w:val="0"/>
          <w:numId w:val="14"/>
        </w:numPr>
        <w:contextualSpacing/>
        <w:rPr>
          <w:rFonts w:asciiTheme="minorHAnsi" w:hAnsiTheme="minorHAnsi" w:cstheme="minorHAnsi"/>
        </w:rPr>
      </w:pPr>
      <w:r w:rsidRPr="003523DB">
        <w:rPr>
          <w:rFonts w:asciiTheme="minorHAnsi" w:hAnsiTheme="minorHAnsi" w:cstheme="minorHAnsi"/>
        </w:rPr>
        <w:t>Risk assessment policy</w:t>
      </w:r>
    </w:p>
    <w:p w:rsidR="003523DB" w:rsidRPr="003523DB" w:rsidRDefault="003523DB" w:rsidP="003523DB">
      <w:pPr>
        <w:pStyle w:val="ListParagraph"/>
        <w:numPr>
          <w:ilvl w:val="0"/>
          <w:numId w:val="14"/>
        </w:numPr>
        <w:contextualSpacing/>
        <w:rPr>
          <w:rFonts w:asciiTheme="minorHAnsi" w:hAnsiTheme="minorHAnsi" w:cstheme="minorHAnsi"/>
        </w:rPr>
      </w:pPr>
      <w:r w:rsidRPr="003523DB">
        <w:rPr>
          <w:rFonts w:asciiTheme="minorHAnsi" w:hAnsiTheme="minorHAnsi" w:cstheme="minorHAnsi"/>
        </w:rPr>
        <w:t>Health and safety policy</w:t>
      </w:r>
    </w:p>
    <w:p w:rsidR="003523DB" w:rsidRPr="003523DB" w:rsidRDefault="003523DB" w:rsidP="003523DB">
      <w:pPr>
        <w:pStyle w:val="ListParagraph"/>
        <w:numPr>
          <w:ilvl w:val="0"/>
          <w:numId w:val="14"/>
        </w:numPr>
        <w:contextualSpacing/>
        <w:rPr>
          <w:rFonts w:asciiTheme="minorHAnsi" w:hAnsiTheme="minorHAnsi" w:cstheme="minorHAnsi"/>
        </w:rPr>
      </w:pPr>
      <w:r w:rsidRPr="003523DB">
        <w:rPr>
          <w:rFonts w:asciiTheme="minorHAnsi" w:hAnsiTheme="minorHAnsi" w:cstheme="minorHAnsi"/>
          <w:color w:val="000000"/>
          <w:shd w:val="clear" w:color="auto" w:fill="FFFFFF"/>
        </w:rPr>
        <w:t>Equality information and objectives (public sector equality duty) statement for publication</w:t>
      </w:r>
    </w:p>
    <w:p w:rsidR="003523DB" w:rsidRPr="003523DB" w:rsidRDefault="003523DB" w:rsidP="003523DB">
      <w:pPr>
        <w:pStyle w:val="ListParagraph"/>
        <w:numPr>
          <w:ilvl w:val="0"/>
          <w:numId w:val="14"/>
        </w:numPr>
        <w:contextualSpacing/>
        <w:rPr>
          <w:rFonts w:asciiTheme="minorHAnsi" w:hAnsiTheme="minorHAnsi" w:cstheme="minorHAnsi"/>
        </w:rPr>
      </w:pPr>
      <w:r w:rsidRPr="003523DB">
        <w:rPr>
          <w:rFonts w:asciiTheme="minorHAnsi" w:hAnsiTheme="minorHAnsi" w:cstheme="minorHAnsi"/>
          <w:color w:val="000000"/>
          <w:shd w:val="clear" w:color="auto" w:fill="FFFFFF"/>
        </w:rPr>
        <w:t>Special educational needs (SEN) information report</w:t>
      </w:r>
    </w:p>
    <w:p w:rsidR="003523DB" w:rsidRPr="003523DB" w:rsidRDefault="003523DB" w:rsidP="003523DB">
      <w:pPr>
        <w:pStyle w:val="ListParagraph"/>
        <w:numPr>
          <w:ilvl w:val="0"/>
          <w:numId w:val="14"/>
        </w:numPr>
        <w:contextualSpacing/>
        <w:rPr>
          <w:rFonts w:asciiTheme="minorHAnsi" w:hAnsiTheme="minorHAnsi" w:cstheme="minorHAnsi"/>
        </w:rPr>
      </w:pPr>
      <w:r w:rsidRPr="003523DB">
        <w:rPr>
          <w:rFonts w:asciiTheme="minorHAnsi" w:hAnsiTheme="minorHAnsi" w:cstheme="minorHAnsi"/>
          <w:color w:val="000000"/>
          <w:shd w:val="clear" w:color="auto" w:fill="FFFFFF"/>
        </w:rPr>
        <w:t>Supporting pupils with medical conditions policy</w:t>
      </w:r>
    </w:p>
    <w:p w:rsidR="003523DB" w:rsidRPr="003523DB" w:rsidRDefault="003523DB" w:rsidP="003523DB">
      <w:pPr>
        <w:rPr>
          <w:rFonts w:asciiTheme="minorHAnsi" w:hAnsiTheme="minorHAnsi" w:cstheme="minorHAnsi"/>
          <w:sz w:val="24"/>
          <w:szCs w:val="24"/>
        </w:rPr>
      </w:pPr>
    </w:p>
    <w:sectPr w:rsidR="003523DB" w:rsidRPr="003523DB" w:rsidSect="00F2424B">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851" w:left="851" w:header="11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58E" w:rsidRDefault="009D258E" w:rsidP="00945D63">
      <w:r>
        <w:separator/>
      </w:r>
    </w:p>
  </w:endnote>
  <w:endnote w:type="continuationSeparator" w:id="0">
    <w:p w:rsidR="009D258E" w:rsidRDefault="009D258E" w:rsidP="0094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2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11B" w:rsidRDefault="00DF311B" w:rsidP="00870A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14425"/>
      <w:docPartObj>
        <w:docPartGallery w:val="Page Numbers (Bottom of Page)"/>
        <w:docPartUnique/>
      </w:docPartObj>
    </w:sdtPr>
    <w:sdtEndPr>
      <w:rPr>
        <w:noProof/>
      </w:rPr>
    </w:sdtEndPr>
    <w:sdtContent>
      <w:p w:rsidR="00DF311B" w:rsidRDefault="00DF311B" w:rsidP="00870A6F">
        <w:pPr>
          <w:pStyle w:val="Footer"/>
          <w:jc w:val="center"/>
        </w:pPr>
        <w:r>
          <w:t xml:space="preserve">Page | </w:t>
        </w:r>
        <w:r>
          <w:fldChar w:fldCharType="begin"/>
        </w:r>
        <w:r>
          <w:instrText xml:space="preserve"> PAGE   \* MERGEFORMAT </w:instrText>
        </w:r>
        <w:r>
          <w:fldChar w:fldCharType="separate"/>
        </w:r>
        <w:r w:rsidR="009F1E55">
          <w:rPr>
            <w:noProof/>
          </w:rPr>
          <w:t>6</w:t>
        </w:r>
        <w:r>
          <w:rPr>
            <w:noProof/>
          </w:rPr>
          <w:fldChar w:fldCharType="end"/>
        </w:r>
      </w:p>
    </w:sdtContent>
  </w:sdt>
  <w:p w:rsidR="00DF311B" w:rsidRDefault="00DF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C1" w:rsidRDefault="0048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58E" w:rsidRDefault="009D258E" w:rsidP="00945D63">
      <w:r>
        <w:separator/>
      </w:r>
    </w:p>
  </w:footnote>
  <w:footnote w:type="continuationSeparator" w:id="0">
    <w:p w:rsidR="009D258E" w:rsidRDefault="009D258E" w:rsidP="0094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85" w:rsidRDefault="008B0685">
    <w:pPr>
      <w:pStyle w:val="Header"/>
    </w:pPr>
    <w:r w:rsidRPr="00C14105">
      <w:rPr>
        <w:rFonts w:ascii="Khmer UI" w:hAnsi="Khmer UI" w:cs="Khmer UI"/>
        <w:noProof/>
        <w:color w:val="211D70"/>
        <w:sz w:val="32"/>
        <w:szCs w:val="32"/>
      </w:rPr>
      <w:drawing>
        <wp:anchor distT="0" distB="0" distL="114300" distR="114300" simplePos="0" relativeHeight="251660288" behindDoc="0" locked="0" layoutInCell="1" allowOverlap="1" wp14:anchorId="41999C58" wp14:editId="3D0FB668">
          <wp:simplePos x="0" y="0"/>
          <wp:positionH relativeFrom="margin">
            <wp:posOffset>0</wp:posOffset>
          </wp:positionH>
          <wp:positionV relativeFrom="page">
            <wp:posOffset>360045</wp:posOffset>
          </wp:positionV>
          <wp:extent cx="3032125" cy="784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_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125" cy="784860"/>
                  </a:xfrm>
                  <a:prstGeom prst="rect">
                    <a:avLst/>
                  </a:prstGeom>
                </pic:spPr>
              </pic:pic>
            </a:graphicData>
          </a:graphic>
          <wp14:sizeRelH relativeFrom="margin">
            <wp14:pctWidth>0</wp14:pctWidth>
          </wp14:sizeRelH>
          <wp14:sizeRelV relativeFrom="margin">
            <wp14:pctHeight>0</wp14:pctHeight>
          </wp14:sizeRelV>
        </wp:anchor>
      </w:drawing>
    </w:r>
  </w:p>
  <w:p w:rsidR="008B0685" w:rsidRDefault="008B0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C1" w:rsidRDefault="00481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537" w:type="dxa"/>
      <w:tblInd w:w="5513"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4537"/>
    </w:tblGrid>
    <w:tr w:rsidR="00DF311B" w:rsidTr="00A45A5A">
      <w:trPr>
        <w:trHeight w:val="107"/>
      </w:trPr>
      <w:tc>
        <w:tcPr>
          <w:tcW w:w="4537" w:type="dxa"/>
          <w:shd w:val="clear" w:color="auto" w:fill="211D70"/>
          <w:vAlign w:val="center"/>
        </w:tcPr>
        <w:p w:rsidR="00DF311B" w:rsidRPr="00EF587D" w:rsidRDefault="008A7AD0" w:rsidP="00DF311B">
          <w:pPr>
            <w:pStyle w:val="Header"/>
            <w:tabs>
              <w:tab w:val="clear" w:pos="4513"/>
              <w:tab w:val="clear" w:pos="9026"/>
              <w:tab w:val="right" w:pos="9923"/>
            </w:tabs>
            <w:spacing w:line="276" w:lineRule="auto"/>
            <w:rPr>
              <w:rFonts w:ascii="Arial" w:hAnsi="Arial" w:cs="Arial"/>
              <w:color w:val="FFFFFF" w:themeColor="background1"/>
              <w:sz w:val="28"/>
              <w:szCs w:val="28"/>
            </w:rPr>
          </w:pPr>
          <w:r w:rsidRPr="00EF587D">
            <w:rPr>
              <w:rFonts w:ascii="Arial" w:hAnsi="Arial" w:cs="Arial"/>
              <w:color w:val="FFFFFF" w:themeColor="background1"/>
              <w:sz w:val="28"/>
              <w:szCs w:val="28"/>
            </w:rPr>
            <w:t>ACCESSABILITY POLICY</w:t>
          </w:r>
        </w:p>
      </w:tc>
    </w:tr>
    <w:tr w:rsidR="00DF311B" w:rsidTr="00A45A5A">
      <w:trPr>
        <w:trHeight w:val="379"/>
      </w:trPr>
      <w:tc>
        <w:tcPr>
          <w:tcW w:w="4537" w:type="dxa"/>
          <w:vAlign w:val="center"/>
        </w:tcPr>
        <w:p w:rsidR="00DF311B" w:rsidRPr="00DF311B" w:rsidRDefault="00481FC1" w:rsidP="00DF311B">
          <w:pPr>
            <w:pStyle w:val="Header"/>
            <w:tabs>
              <w:tab w:val="clear" w:pos="4513"/>
              <w:tab w:val="clear" w:pos="9026"/>
              <w:tab w:val="right" w:pos="9923"/>
            </w:tabs>
            <w:spacing w:line="276" w:lineRule="auto"/>
            <w:rPr>
              <w:rFonts w:ascii="Arial" w:hAnsi="Arial" w:cs="Arial"/>
              <w:i/>
              <w:sz w:val="22"/>
              <w:szCs w:val="22"/>
            </w:rPr>
          </w:pPr>
          <w:r>
            <w:rPr>
              <w:rFonts w:ascii="Arial" w:hAnsi="Arial" w:cs="Arial"/>
              <w:sz w:val="22"/>
              <w:szCs w:val="22"/>
            </w:rPr>
            <w:t>2016-2019</w:t>
          </w:r>
        </w:p>
      </w:tc>
    </w:tr>
  </w:tbl>
  <w:p w:rsidR="00C14105" w:rsidRPr="00DF311B" w:rsidRDefault="00A45A5A" w:rsidP="00DF311B">
    <w:pPr>
      <w:pStyle w:val="Header"/>
      <w:tabs>
        <w:tab w:val="clear" w:pos="4513"/>
        <w:tab w:val="clear" w:pos="9026"/>
        <w:tab w:val="right" w:pos="9923"/>
      </w:tabs>
      <w:spacing w:line="276" w:lineRule="auto"/>
      <w:jc w:val="both"/>
      <w:rPr>
        <w:rFonts w:ascii="Arial" w:hAnsi="Arial" w:cs="Arial"/>
        <w:color w:val="211D70"/>
        <w:sz w:val="32"/>
        <w:szCs w:val="32"/>
      </w:rPr>
    </w:pPr>
    <w:r w:rsidRPr="00C14105">
      <w:rPr>
        <w:rFonts w:ascii="Khmer UI" w:hAnsi="Khmer UI" w:cs="Khmer UI"/>
        <w:noProof/>
        <w:color w:val="211D70"/>
        <w:sz w:val="32"/>
        <w:szCs w:val="32"/>
      </w:rPr>
      <w:drawing>
        <wp:anchor distT="0" distB="0" distL="114300" distR="114300" simplePos="0" relativeHeight="251658240" behindDoc="0" locked="0" layoutInCell="1" allowOverlap="1" wp14:anchorId="6EF08B3A" wp14:editId="1D1A3119">
          <wp:simplePos x="0" y="0"/>
          <wp:positionH relativeFrom="margin">
            <wp:posOffset>52705</wp:posOffset>
          </wp:positionH>
          <wp:positionV relativeFrom="page">
            <wp:posOffset>509905</wp:posOffset>
          </wp:positionV>
          <wp:extent cx="3032125" cy="7848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_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125"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C1" w:rsidRDefault="00481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963E03"/>
    <w:multiLevelType w:val="hybridMultilevel"/>
    <w:tmpl w:val="65B2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F2318"/>
    <w:multiLevelType w:val="hybridMultilevel"/>
    <w:tmpl w:val="FD22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479563E4"/>
    <w:multiLevelType w:val="hybridMultilevel"/>
    <w:tmpl w:val="E78A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43833"/>
    <w:multiLevelType w:val="hybridMultilevel"/>
    <w:tmpl w:val="8636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A3BF0"/>
    <w:multiLevelType w:val="hybridMultilevel"/>
    <w:tmpl w:val="69FE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77D38"/>
    <w:multiLevelType w:val="hybridMultilevel"/>
    <w:tmpl w:val="30024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9F2362"/>
    <w:multiLevelType w:val="hybridMultilevel"/>
    <w:tmpl w:val="1CBA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E4230"/>
    <w:multiLevelType w:val="hybridMultilevel"/>
    <w:tmpl w:val="2EC8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B1E0B"/>
    <w:multiLevelType w:val="hybridMultilevel"/>
    <w:tmpl w:val="8CB4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213DE"/>
    <w:multiLevelType w:val="hybridMultilevel"/>
    <w:tmpl w:val="BF6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63C21"/>
    <w:multiLevelType w:val="hybridMultilevel"/>
    <w:tmpl w:val="97FAF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6"/>
  </w:num>
  <w:num w:numId="5">
    <w:abstractNumId w:val="5"/>
  </w:num>
  <w:num w:numId="6">
    <w:abstractNumId w:val="2"/>
  </w:num>
  <w:num w:numId="7">
    <w:abstractNumId w:val="9"/>
  </w:num>
  <w:num w:numId="8">
    <w:abstractNumId w:val="10"/>
  </w:num>
  <w:num w:numId="9">
    <w:abstractNumId w:val="13"/>
  </w:num>
  <w:num w:numId="10">
    <w:abstractNumId w:val="12"/>
  </w:num>
  <w:num w:numId="11">
    <w:abstractNumId w:val="0"/>
    <w:lvlOverride w:ilvl="0"/>
    <w:lvlOverride w:ilvl="1">
      <w:startOverride w:val="6"/>
    </w:lvlOverride>
    <w:lvlOverride w:ilvl="2"/>
    <w:lvlOverride w:ilvl="3"/>
    <w:lvlOverride w:ilvl="4"/>
    <w:lvlOverride w:ilvl="5"/>
    <w:lvlOverride w:ilvl="6"/>
    <w:lvlOverride w:ilvl="7"/>
    <w:lvlOverride w:ilvl="8"/>
  </w:num>
  <w:num w:numId="12">
    <w:abstractNumId w:val="8"/>
  </w:num>
  <w:num w:numId="13">
    <w:abstractNumId w:val="1"/>
  </w:num>
  <w:num w:numId="14">
    <w:abstractNumId w:val="4"/>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E"/>
    <w:rsid w:val="00022B51"/>
    <w:rsid w:val="00027172"/>
    <w:rsid w:val="00080B4F"/>
    <w:rsid w:val="000944F7"/>
    <w:rsid w:val="000A74AA"/>
    <w:rsid w:val="000B2B71"/>
    <w:rsid w:val="000D27DC"/>
    <w:rsid w:val="000D5D9A"/>
    <w:rsid w:val="0010610D"/>
    <w:rsid w:val="001423EA"/>
    <w:rsid w:val="00145325"/>
    <w:rsid w:val="00154D68"/>
    <w:rsid w:val="00155507"/>
    <w:rsid w:val="001617C1"/>
    <w:rsid w:val="001C028E"/>
    <w:rsid w:val="00210640"/>
    <w:rsid w:val="00210C3C"/>
    <w:rsid w:val="00215F9D"/>
    <w:rsid w:val="00251032"/>
    <w:rsid w:val="00284AE3"/>
    <w:rsid w:val="002875E1"/>
    <w:rsid w:val="00294034"/>
    <w:rsid w:val="00294D68"/>
    <w:rsid w:val="002A6A48"/>
    <w:rsid w:val="003212BB"/>
    <w:rsid w:val="003523DB"/>
    <w:rsid w:val="00371F8F"/>
    <w:rsid w:val="003A38AC"/>
    <w:rsid w:val="003B7156"/>
    <w:rsid w:val="003F0053"/>
    <w:rsid w:val="003F1372"/>
    <w:rsid w:val="003F656E"/>
    <w:rsid w:val="0040169A"/>
    <w:rsid w:val="0042752E"/>
    <w:rsid w:val="00442EA6"/>
    <w:rsid w:val="00461BD0"/>
    <w:rsid w:val="00466506"/>
    <w:rsid w:val="00475545"/>
    <w:rsid w:val="00475F44"/>
    <w:rsid w:val="00481FC1"/>
    <w:rsid w:val="00482B85"/>
    <w:rsid w:val="0048374A"/>
    <w:rsid w:val="004C793D"/>
    <w:rsid w:val="00505F20"/>
    <w:rsid w:val="00524283"/>
    <w:rsid w:val="00564228"/>
    <w:rsid w:val="005925C8"/>
    <w:rsid w:val="005A0B4A"/>
    <w:rsid w:val="00614C4B"/>
    <w:rsid w:val="006645F0"/>
    <w:rsid w:val="00672116"/>
    <w:rsid w:val="00672AE1"/>
    <w:rsid w:val="006A528B"/>
    <w:rsid w:val="006C0491"/>
    <w:rsid w:val="006D0A62"/>
    <w:rsid w:val="007165B9"/>
    <w:rsid w:val="00774656"/>
    <w:rsid w:val="007C3149"/>
    <w:rsid w:val="007C643C"/>
    <w:rsid w:val="007D5C1C"/>
    <w:rsid w:val="0080123D"/>
    <w:rsid w:val="00870A6F"/>
    <w:rsid w:val="008748E2"/>
    <w:rsid w:val="008A5BAB"/>
    <w:rsid w:val="008A7AD0"/>
    <w:rsid w:val="008B0685"/>
    <w:rsid w:val="008C078B"/>
    <w:rsid w:val="008D70A2"/>
    <w:rsid w:val="00945D63"/>
    <w:rsid w:val="00976E4E"/>
    <w:rsid w:val="009949A0"/>
    <w:rsid w:val="009A418D"/>
    <w:rsid w:val="009D258E"/>
    <w:rsid w:val="009D4D3A"/>
    <w:rsid w:val="009F1E55"/>
    <w:rsid w:val="00A140C4"/>
    <w:rsid w:val="00A45A5A"/>
    <w:rsid w:val="00A527D0"/>
    <w:rsid w:val="00A61947"/>
    <w:rsid w:val="00A80792"/>
    <w:rsid w:val="00A84375"/>
    <w:rsid w:val="00A86826"/>
    <w:rsid w:val="00AA4901"/>
    <w:rsid w:val="00AB7384"/>
    <w:rsid w:val="00AC33B4"/>
    <w:rsid w:val="00AE45B2"/>
    <w:rsid w:val="00B36870"/>
    <w:rsid w:val="00B77EC0"/>
    <w:rsid w:val="00B977D1"/>
    <w:rsid w:val="00BB06AD"/>
    <w:rsid w:val="00BB2F1E"/>
    <w:rsid w:val="00BB6B9E"/>
    <w:rsid w:val="00BC1E1B"/>
    <w:rsid w:val="00BC281A"/>
    <w:rsid w:val="00BE5FCF"/>
    <w:rsid w:val="00BF3444"/>
    <w:rsid w:val="00BF79AD"/>
    <w:rsid w:val="00C14105"/>
    <w:rsid w:val="00C32405"/>
    <w:rsid w:val="00C53596"/>
    <w:rsid w:val="00CB2522"/>
    <w:rsid w:val="00CB4F01"/>
    <w:rsid w:val="00CE0FFE"/>
    <w:rsid w:val="00CF51AB"/>
    <w:rsid w:val="00CF78A7"/>
    <w:rsid w:val="00D03C0C"/>
    <w:rsid w:val="00D63831"/>
    <w:rsid w:val="00D922D9"/>
    <w:rsid w:val="00DB16E7"/>
    <w:rsid w:val="00DF311B"/>
    <w:rsid w:val="00E25E2A"/>
    <w:rsid w:val="00E30B92"/>
    <w:rsid w:val="00E4346D"/>
    <w:rsid w:val="00E544EB"/>
    <w:rsid w:val="00E90191"/>
    <w:rsid w:val="00EB5795"/>
    <w:rsid w:val="00EF587D"/>
    <w:rsid w:val="00F2424B"/>
    <w:rsid w:val="00F27515"/>
    <w:rsid w:val="00F42E17"/>
    <w:rsid w:val="00F60E3F"/>
    <w:rsid w:val="00F70BBF"/>
    <w:rsid w:val="00F84538"/>
    <w:rsid w:val="00F956FD"/>
    <w:rsid w:val="00F97E86"/>
    <w:rsid w:val="00FE6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F027B"/>
  <w15:docId w15:val="{E3CF615D-8ADD-4377-8EF5-F0A784A0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FE"/>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70BBF"/>
    <w:pPr>
      <w:keepNext/>
      <w:spacing w:before="240" w:after="60"/>
      <w:outlineLvl w:val="0"/>
    </w:pPr>
    <w:rPr>
      <w:rFonts w:ascii="Cambria" w:hAnsi="Cambria"/>
      <w:b/>
      <w:bCs/>
      <w:color w:val="auto"/>
      <w:kern w:val="32"/>
      <w:sz w:val="32"/>
      <w:szCs w:val="32"/>
      <w:lang w:eastAsia="en-US"/>
    </w:rPr>
  </w:style>
  <w:style w:type="paragraph" w:styleId="Heading2">
    <w:name w:val="heading 2"/>
    <w:basedOn w:val="NoSpacing"/>
    <w:next w:val="Normal"/>
    <w:link w:val="Heading2Char"/>
    <w:qFormat/>
    <w:rsid w:val="00F70BBF"/>
    <w:pPr>
      <w:ind w:left="720" w:hanging="720"/>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63"/>
    <w:pPr>
      <w:tabs>
        <w:tab w:val="center" w:pos="4513"/>
        <w:tab w:val="right" w:pos="9026"/>
      </w:tabs>
    </w:pPr>
  </w:style>
  <w:style w:type="character" w:customStyle="1" w:styleId="HeaderChar">
    <w:name w:val="Header Char"/>
    <w:basedOn w:val="DefaultParagraphFont"/>
    <w:link w:val="Header"/>
    <w:uiPriority w:val="99"/>
    <w:rsid w:val="00945D63"/>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945D63"/>
    <w:pPr>
      <w:tabs>
        <w:tab w:val="center" w:pos="4513"/>
        <w:tab w:val="right" w:pos="9026"/>
      </w:tabs>
    </w:pPr>
  </w:style>
  <w:style w:type="character" w:customStyle="1" w:styleId="FooterChar">
    <w:name w:val="Footer Char"/>
    <w:basedOn w:val="DefaultParagraphFont"/>
    <w:link w:val="Footer"/>
    <w:uiPriority w:val="99"/>
    <w:rsid w:val="00945D63"/>
    <w:rPr>
      <w:rFonts w:ascii="Times New Roman" w:eastAsia="Times New Roman" w:hAnsi="Times New Roman" w:cs="Times New Roman"/>
      <w:color w:val="000000"/>
      <w:kern w:val="28"/>
      <w:sz w:val="20"/>
      <w:szCs w:val="20"/>
      <w:lang w:eastAsia="en-GB"/>
    </w:rPr>
  </w:style>
  <w:style w:type="character" w:customStyle="1" w:styleId="Heading1Char">
    <w:name w:val="Heading 1 Char"/>
    <w:basedOn w:val="DefaultParagraphFont"/>
    <w:link w:val="Heading1"/>
    <w:uiPriority w:val="9"/>
    <w:rsid w:val="00F70B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70BBF"/>
    <w:rPr>
      <w:rFonts w:ascii="Arial" w:eastAsia="Times New Roman" w:hAnsi="Arial" w:cs="Arial"/>
      <w:b/>
      <w:sz w:val="24"/>
      <w:szCs w:val="24"/>
      <w:lang w:val="en-US"/>
    </w:rPr>
  </w:style>
  <w:style w:type="numbering" w:customStyle="1" w:styleId="NoList1">
    <w:name w:val="No List1"/>
    <w:next w:val="NoList"/>
    <w:uiPriority w:val="99"/>
    <w:semiHidden/>
    <w:unhideWhenUsed/>
    <w:rsid w:val="00F70BBF"/>
  </w:style>
  <w:style w:type="paragraph" w:styleId="NoSpacing">
    <w:name w:val="No Spacing"/>
    <w:uiPriority w:val="1"/>
    <w:qFormat/>
    <w:rsid w:val="00F70BBF"/>
    <w:pPr>
      <w:spacing w:after="0" w:line="240" w:lineRule="auto"/>
    </w:pPr>
    <w:rPr>
      <w:rFonts w:ascii="Arial" w:eastAsia="Calibri" w:hAnsi="Arial" w:cs="Arial"/>
      <w:sz w:val="24"/>
      <w:lang w:val="en-US"/>
    </w:rPr>
  </w:style>
  <w:style w:type="character" w:styleId="Hyperlink">
    <w:name w:val="Hyperlink"/>
    <w:rsid w:val="00F70BBF"/>
    <w:rPr>
      <w:color w:val="0000FF"/>
      <w:u w:val="single"/>
    </w:rPr>
  </w:style>
  <w:style w:type="paragraph" w:styleId="BalloonText">
    <w:name w:val="Balloon Text"/>
    <w:basedOn w:val="Normal"/>
    <w:link w:val="BalloonTextChar"/>
    <w:uiPriority w:val="99"/>
    <w:semiHidden/>
    <w:unhideWhenUsed/>
    <w:rsid w:val="00F70BBF"/>
    <w:rPr>
      <w:rFonts w:ascii="Tahoma"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F70BBF"/>
    <w:rPr>
      <w:rFonts w:ascii="Tahoma" w:eastAsia="Times New Roman" w:hAnsi="Tahoma" w:cs="Tahoma"/>
      <w:sz w:val="16"/>
      <w:szCs w:val="16"/>
    </w:rPr>
  </w:style>
  <w:style w:type="character" w:styleId="CommentReference">
    <w:name w:val="annotation reference"/>
    <w:uiPriority w:val="99"/>
    <w:semiHidden/>
    <w:unhideWhenUsed/>
    <w:rsid w:val="00F70BBF"/>
    <w:rPr>
      <w:sz w:val="16"/>
      <w:szCs w:val="16"/>
    </w:rPr>
  </w:style>
  <w:style w:type="paragraph" w:styleId="CommentText">
    <w:name w:val="annotation text"/>
    <w:basedOn w:val="Normal"/>
    <w:link w:val="CommentTextChar"/>
    <w:uiPriority w:val="99"/>
    <w:semiHidden/>
    <w:unhideWhenUsed/>
    <w:rsid w:val="00F70BBF"/>
    <w:rPr>
      <w:rFonts w:ascii="Arial" w:hAnsi="Arial" w:cs="Arial"/>
      <w:color w:val="auto"/>
      <w:kern w:val="0"/>
      <w:lang w:eastAsia="en-US"/>
    </w:rPr>
  </w:style>
  <w:style w:type="character" w:customStyle="1" w:styleId="CommentTextChar">
    <w:name w:val="Comment Text Char"/>
    <w:basedOn w:val="DefaultParagraphFont"/>
    <w:link w:val="CommentText"/>
    <w:uiPriority w:val="99"/>
    <w:semiHidden/>
    <w:rsid w:val="00F70BB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0BBF"/>
    <w:rPr>
      <w:b/>
      <w:bCs/>
    </w:rPr>
  </w:style>
  <w:style w:type="character" w:customStyle="1" w:styleId="CommentSubjectChar">
    <w:name w:val="Comment Subject Char"/>
    <w:basedOn w:val="CommentTextChar"/>
    <w:link w:val="CommentSubject"/>
    <w:uiPriority w:val="99"/>
    <w:semiHidden/>
    <w:rsid w:val="00F70BBF"/>
    <w:rPr>
      <w:rFonts w:ascii="Arial" w:eastAsia="Times New Roman" w:hAnsi="Arial" w:cs="Arial"/>
      <w:b/>
      <w:bCs/>
      <w:sz w:val="20"/>
      <w:szCs w:val="20"/>
    </w:rPr>
  </w:style>
  <w:style w:type="paragraph" w:styleId="ListParagraph">
    <w:name w:val="List Paragraph"/>
    <w:basedOn w:val="Normal"/>
    <w:uiPriority w:val="34"/>
    <w:qFormat/>
    <w:rsid w:val="00F70BBF"/>
    <w:pPr>
      <w:ind w:left="720"/>
    </w:pPr>
    <w:rPr>
      <w:rFonts w:ascii="Arial" w:hAnsi="Arial" w:cs="Arial"/>
      <w:color w:val="auto"/>
      <w:kern w:val="0"/>
      <w:sz w:val="24"/>
      <w:szCs w:val="24"/>
      <w:lang w:eastAsia="en-US"/>
    </w:rPr>
  </w:style>
  <w:style w:type="character" w:styleId="PlaceholderText">
    <w:name w:val="Placeholder Text"/>
    <w:basedOn w:val="DefaultParagraphFont"/>
    <w:uiPriority w:val="99"/>
    <w:semiHidden/>
    <w:rsid w:val="00F70BBF"/>
    <w:rPr>
      <w:color w:val="808080"/>
    </w:rPr>
  </w:style>
  <w:style w:type="paragraph" w:styleId="Title">
    <w:name w:val="Title"/>
    <w:basedOn w:val="Normal"/>
    <w:next w:val="Normal"/>
    <w:link w:val="TitleChar"/>
    <w:uiPriority w:val="10"/>
    <w:qFormat/>
    <w:rsid w:val="00F70BBF"/>
    <w:pPr>
      <w:spacing w:before="240" w:after="60"/>
      <w:jc w:val="center"/>
      <w:outlineLvl w:val="0"/>
    </w:pPr>
    <w:rPr>
      <w:rFonts w:ascii="Cambria" w:hAnsi="Cambria"/>
      <w:b/>
      <w:bCs/>
      <w:color w:val="auto"/>
      <w:sz w:val="32"/>
      <w:szCs w:val="32"/>
      <w:lang w:eastAsia="en-US"/>
    </w:rPr>
  </w:style>
  <w:style w:type="character" w:customStyle="1" w:styleId="TitleChar">
    <w:name w:val="Title Char"/>
    <w:basedOn w:val="DefaultParagraphFont"/>
    <w:link w:val="Title"/>
    <w:uiPriority w:val="10"/>
    <w:rsid w:val="00F70BBF"/>
    <w:rPr>
      <w:rFonts w:ascii="Cambria" w:eastAsia="Times New Roman" w:hAnsi="Cambria" w:cs="Times New Roman"/>
      <w:b/>
      <w:bCs/>
      <w:kern w:val="28"/>
      <w:sz w:val="32"/>
      <w:szCs w:val="32"/>
    </w:rPr>
  </w:style>
  <w:style w:type="table" w:styleId="TableGrid">
    <w:name w:val="Table Grid"/>
    <w:basedOn w:val="TableNormal"/>
    <w:rsid w:val="00F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77EC0"/>
    <w:rPr>
      <w:rFonts w:asciiTheme="minorHAnsi" w:eastAsiaTheme="minorEastAsia" w:hAnsiTheme="minorHAnsi" w:cstheme="minorBidi"/>
      <w:color w:val="auto"/>
      <w:kern w:val="0"/>
      <w:sz w:val="24"/>
      <w:szCs w:val="24"/>
      <w:lang w:eastAsia="en-US"/>
    </w:rPr>
  </w:style>
  <w:style w:type="character" w:customStyle="1" w:styleId="FootnoteTextChar">
    <w:name w:val="Footnote Text Char"/>
    <w:basedOn w:val="DefaultParagraphFont"/>
    <w:link w:val="FootnoteText"/>
    <w:uiPriority w:val="99"/>
    <w:rsid w:val="00B77EC0"/>
    <w:rPr>
      <w:rFonts w:eastAsiaTheme="minorEastAsia"/>
      <w:sz w:val="24"/>
      <w:szCs w:val="24"/>
    </w:rPr>
  </w:style>
  <w:style w:type="character" w:styleId="FootnoteReference">
    <w:name w:val="footnote reference"/>
    <w:basedOn w:val="DefaultParagraphFont"/>
    <w:uiPriority w:val="99"/>
    <w:unhideWhenUsed/>
    <w:rsid w:val="00B77EC0"/>
    <w:rPr>
      <w:vertAlign w:val="superscript"/>
    </w:rPr>
  </w:style>
  <w:style w:type="paragraph" w:styleId="TOC1">
    <w:name w:val="toc 1"/>
    <w:basedOn w:val="Normal"/>
    <w:next w:val="Normal"/>
    <w:autoRedefine/>
    <w:uiPriority w:val="39"/>
    <w:semiHidden/>
    <w:unhideWhenUsed/>
    <w:qFormat/>
    <w:rsid w:val="003523DB"/>
    <w:pPr>
      <w:tabs>
        <w:tab w:val="right" w:leader="dot" w:pos="9338"/>
      </w:tabs>
      <w:spacing w:before="120" w:after="120"/>
    </w:pPr>
    <w:rPr>
      <w:rFonts w:ascii="Arial" w:eastAsia="MS Mincho" w:hAnsi="Arial"/>
      <w:color w:val="auto"/>
      <w:kern w:val="0"/>
      <w:sz w:val="22"/>
      <w:szCs w:val="24"/>
      <w:lang w:val="en-US" w:eastAsia="en-US"/>
    </w:rPr>
  </w:style>
  <w:style w:type="paragraph" w:customStyle="1" w:styleId="Caption1">
    <w:name w:val="Caption 1"/>
    <w:basedOn w:val="Normal"/>
    <w:qFormat/>
    <w:rsid w:val="003523DB"/>
    <w:pPr>
      <w:spacing w:before="120" w:after="120"/>
    </w:pPr>
    <w:rPr>
      <w:rFonts w:ascii="Arial" w:eastAsia="MS Mincho" w:hAnsi="Arial"/>
      <w:i/>
      <w:color w:val="F15F22"/>
      <w:kern w:val="0"/>
      <w:szCs w:val="24"/>
      <w:lang w:val="en-US" w:eastAsia="en-US"/>
    </w:rPr>
  </w:style>
  <w:style w:type="paragraph" w:styleId="NormalWeb">
    <w:name w:val="Normal (Web)"/>
    <w:basedOn w:val="Normal"/>
    <w:uiPriority w:val="99"/>
    <w:semiHidden/>
    <w:unhideWhenUsed/>
    <w:rsid w:val="00672116"/>
    <w:pPr>
      <w:spacing w:before="100" w:beforeAutospacing="1" w:after="100" w:afterAutospacing="1"/>
    </w:pPr>
    <w:rPr>
      <w:color w:val="auto"/>
      <w:kern w:val="0"/>
      <w:sz w:val="24"/>
      <w:szCs w:val="24"/>
    </w:rPr>
  </w:style>
  <w:style w:type="character" w:styleId="Strong">
    <w:name w:val="Strong"/>
    <w:basedOn w:val="DefaultParagraphFont"/>
    <w:uiPriority w:val="22"/>
    <w:qFormat/>
    <w:rsid w:val="00672116"/>
    <w:rPr>
      <w:b/>
      <w:bCs/>
    </w:rPr>
  </w:style>
  <w:style w:type="character" w:styleId="Emphasis">
    <w:name w:val="Emphasis"/>
    <w:basedOn w:val="DefaultParagraphFont"/>
    <w:uiPriority w:val="20"/>
    <w:qFormat/>
    <w:rsid w:val="006721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53720">
      <w:bodyDiv w:val="1"/>
      <w:marLeft w:val="0"/>
      <w:marRight w:val="0"/>
      <w:marTop w:val="0"/>
      <w:marBottom w:val="0"/>
      <w:divBdr>
        <w:top w:val="none" w:sz="0" w:space="0" w:color="auto"/>
        <w:left w:val="none" w:sz="0" w:space="0" w:color="auto"/>
        <w:bottom w:val="none" w:sz="0" w:space="0" w:color="auto"/>
        <w:right w:val="none" w:sz="0" w:space="0" w:color="auto"/>
      </w:divBdr>
    </w:div>
    <w:div w:id="17885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chedule/1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send-code-of-practice-0-to-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equality-act-2010-advice-for-schoo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6A24-C07D-499F-9F0F-184758D3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Pett</dc:creator>
  <cp:lastModifiedBy>Victoria Eadie (CEO, Tudor Park Education Trust)</cp:lastModifiedBy>
  <cp:revision>7</cp:revision>
  <cp:lastPrinted>2018-07-16T12:50:00Z</cp:lastPrinted>
  <dcterms:created xsi:type="dcterms:W3CDTF">2018-07-16T12:31:00Z</dcterms:created>
  <dcterms:modified xsi:type="dcterms:W3CDTF">2018-07-18T09:45:00Z</dcterms:modified>
</cp:coreProperties>
</file>