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rFonts w:ascii="Arial" w:cs="Arial" w:eastAsia="Arial" w:hAnsi="Arial"/>
        </w:rPr>
      </w:pPr>
      <w:bookmarkStart w:colFirst="0" w:colLast="0" w:name="_s4wjhljwpkl1" w:id="0"/>
      <w:bookmarkEnd w:id="0"/>
      <w:r w:rsidDel="00000000" w:rsidR="00000000" w:rsidRPr="00000000">
        <w:rPr>
          <w:rtl w:val="0"/>
        </w:rPr>
      </w:r>
    </w:p>
    <w:p w:rsidR="00000000" w:rsidDel="00000000" w:rsidP="00000000" w:rsidRDefault="00000000" w:rsidRPr="00000000" w14:paraId="00000001">
      <w:pPr>
        <w:pStyle w:val="Heading2"/>
        <w:contextualSpacing w:val="0"/>
        <w:rPr>
          <w:rFonts w:ascii="Arial" w:cs="Arial" w:eastAsia="Arial" w:hAnsi="Arial"/>
          <w:b w:val="1"/>
          <w:sz w:val="28"/>
          <w:szCs w:val="28"/>
        </w:rPr>
      </w:pPr>
      <w:bookmarkStart w:colFirst="0" w:colLast="0" w:name="_gjdgxs" w:id="1"/>
      <w:bookmarkEnd w:id="1"/>
      <w:r w:rsidDel="00000000" w:rsidR="00000000" w:rsidRPr="00000000">
        <w:rPr>
          <w:rFonts w:ascii="Arial" w:cs="Arial" w:eastAsia="Arial" w:hAnsi="Arial"/>
          <w:b w:val="1"/>
          <w:sz w:val="28"/>
          <w:szCs w:val="28"/>
          <w:rtl w:val="0"/>
        </w:rPr>
        <w:t xml:space="preserve">Logic Studio School </w:t>
      </w:r>
      <w:r w:rsidDel="00000000" w:rsidR="00000000" w:rsidRPr="00000000">
        <w:rPr>
          <w:rFonts w:ascii="Arial" w:cs="Arial" w:eastAsia="Arial" w:hAnsi="Arial"/>
          <w:b w:val="1"/>
          <w:sz w:val="28"/>
          <w:szCs w:val="28"/>
          <w:rtl w:val="0"/>
        </w:rPr>
        <w:t xml:space="preserve">Provider Access Policy</w:t>
      </w:r>
    </w:p>
    <w:p w:rsidR="00000000" w:rsidDel="00000000" w:rsidP="00000000" w:rsidRDefault="00000000" w:rsidRPr="00000000" w14:paraId="00000002">
      <w:pPr>
        <w:pStyle w:val="Heading3"/>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3"/>
        <w:contextualSpacing w:val="0"/>
        <w:rPr>
          <w:b w:val="1"/>
        </w:rPr>
      </w:pPr>
      <w:r w:rsidDel="00000000" w:rsidR="00000000" w:rsidRPr="00000000">
        <w:rPr>
          <w:b w:val="1"/>
          <w:rtl w:val="0"/>
        </w:rPr>
        <w:t xml:space="preserve">Introduction</w:t>
      </w:r>
    </w:p>
    <w:p w:rsidR="00000000" w:rsidDel="00000000" w:rsidP="00000000" w:rsidRDefault="00000000" w:rsidRPr="00000000" w14:paraId="00000004">
      <w:pPr>
        <w:contextualSpacing w:val="0"/>
        <w:rPr>
          <w:sz w:val="24"/>
          <w:szCs w:val="24"/>
        </w:rPr>
      </w:pPr>
      <w:r w:rsidDel="00000000" w:rsidR="00000000" w:rsidRPr="00000000">
        <w:rPr>
          <w:rtl w:val="0"/>
        </w:rPr>
      </w:r>
    </w:p>
    <w:p w:rsidR="00000000" w:rsidDel="00000000" w:rsidP="00000000" w:rsidRDefault="00000000" w:rsidRPr="00000000" w14:paraId="00000005">
      <w:pPr>
        <w:contextualSpacing w:val="0"/>
        <w:rPr>
          <w:sz w:val="24"/>
          <w:szCs w:val="24"/>
        </w:rPr>
      </w:pPr>
      <w:r w:rsidDel="00000000" w:rsidR="00000000" w:rsidRPr="00000000">
        <w:rPr>
          <w:sz w:val="24"/>
          <w:szCs w:val="24"/>
          <w:rtl w:val="0"/>
        </w:rPr>
        <w:t xml:space="preserve">This policy statement sets out the school’s arrangements for managing the access of providers to pupils at the school for the purposes of giving them information about the provider’s education or training offer. This complies with the school’s legal obligations under Section 42B of the Education Act 1997.</w:t>
      </w:r>
    </w:p>
    <w:p w:rsidR="00000000" w:rsidDel="00000000" w:rsidP="00000000" w:rsidRDefault="00000000" w:rsidRPr="00000000" w14:paraId="00000006">
      <w:pPr>
        <w:contextualSpacing w:val="0"/>
        <w:rPr>
          <w:sz w:val="24"/>
          <w:szCs w:val="24"/>
        </w:rPr>
      </w:pPr>
      <w:r w:rsidDel="00000000" w:rsidR="00000000" w:rsidRPr="00000000">
        <w:rPr>
          <w:rtl w:val="0"/>
        </w:rPr>
      </w:r>
    </w:p>
    <w:p w:rsidR="00000000" w:rsidDel="00000000" w:rsidP="00000000" w:rsidRDefault="00000000" w:rsidRPr="00000000" w14:paraId="00000007">
      <w:pPr>
        <w:pStyle w:val="Heading3"/>
        <w:contextualSpacing w:val="0"/>
        <w:rPr>
          <w:b w:val="1"/>
        </w:rPr>
      </w:pPr>
      <w:r w:rsidDel="00000000" w:rsidR="00000000" w:rsidRPr="00000000">
        <w:rPr>
          <w:b w:val="1"/>
          <w:rtl w:val="0"/>
        </w:rPr>
        <w:t xml:space="preserve">Student entitlement</w:t>
      </w:r>
    </w:p>
    <w:p w:rsidR="00000000" w:rsidDel="00000000" w:rsidP="00000000" w:rsidRDefault="00000000" w:rsidRPr="00000000" w14:paraId="00000008">
      <w:pPr>
        <w:contextualSpacing w:val="0"/>
        <w:rPr>
          <w:sz w:val="24"/>
          <w:szCs w:val="24"/>
        </w:rPr>
      </w:pPr>
      <w:r w:rsidDel="00000000" w:rsidR="00000000" w:rsidRPr="00000000">
        <w:rPr>
          <w:rtl w:val="0"/>
        </w:rPr>
      </w:r>
    </w:p>
    <w:p w:rsidR="00000000" w:rsidDel="00000000" w:rsidP="00000000" w:rsidRDefault="00000000" w:rsidRPr="00000000" w14:paraId="00000009">
      <w:pPr>
        <w:contextualSpacing w:val="0"/>
        <w:rPr>
          <w:sz w:val="24"/>
          <w:szCs w:val="24"/>
        </w:rPr>
      </w:pPr>
      <w:r w:rsidDel="00000000" w:rsidR="00000000" w:rsidRPr="00000000">
        <w:rPr>
          <w:sz w:val="24"/>
          <w:szCs w:val="24"/>
          <w:rtl w:val="0"/>
        </w:rPr>
        <w:t xml:space="preserve">Students in years 10-13 are entitled:</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contextualSpacing w:val="1"/>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To find out about technical education qualifications and apprenticeships opportunities, as part of a careers programme which provides information on the full range of education and training options available at each transition point.</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contextualSpacing w:val="1"/>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To hear from a range of local providers about the opportunities they offer, including technical education and apprenticeships – through options evenings, assemblies and group discussions and taster events.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720" w:right="0" w:hanging="360"/>
        <w:contextualSpacing w:val="1"/>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To understand how to make applications for the full range of academic and technical courses.</w:t>
      </w:r>
    </w:p>
    <w:p w:rsidR="00000000" w:rsidDel="00000000" w:rsidP="00000000" w:rsidRDefault="00000000" w:rsidRPr="00000000" w14:paraId="0000000D">
      <w:pPr>
        <w:pStyle w:val="Heading3"/>
        <w:contextualSpacing w:val="0"/>
        <w:rPr/>
      </w:pPr>
      <w:r w:rsidDel="00000000" w:rsidR="00000000" w:rsidRPr="00000000">
        <w:rPr>
          <w:rtl w:val="0"/>
        </w:rPr>
      </w:r>
    </w:p>
    <w:p w:rsidR="00000000" w:rsidDel="00000000" w:rsidP="00000000" w:rsidRDefault="00000000" w:rsidRPr="00000000" w14:paraId="0000000E">
      <w:pPr>
        <w:pStyle w:val="Heading3"/>
        <w:contextualSpacing w:val="0"/>
        <w:rPr>
          <w:b w:val="1"/>
        </w:rPr>
      </w:pPr>
      <w:r w:rsidDel="00000000" w:rsidR="00000000" w:rsidRPr="00000000">
        <w:rPr>
          <w:b w:val="1"/>
          <w:rtl w:val="0"/>
        </w:rPr>
        <w:t xml:space="preserve">Management of provider access requests</w:t>
      </w:r>
    </w:p>
    <w:p w:rsidR="00000000" w:rsidDel="00000000" w:rsidP="00000000" w:rsidRDefault="00000000" w:rsidRPr="00000000" w14:paraId="0000000F">
      <w:pPr>
        <w:contextualSpacing w:val="0"/>
        <w:rPr>
          <w:sz w:val="24"/>
          <w:szCs w:val="24"/>
        </w:rPr>
      </w:pPr>
      <w:r w:rsidDel="00000000" w:rsidR="00000000" w:rsidRPr="00000000">
        <w:rPr>
          <w:rtl w:val="0"/>
        </w:rPr>
      </w:r>
    </w:p>
    <w:p w:rsidR="00000000" w:rsidDel="00000000" w:rsidP="00000000" w:rsidRDefault="00000000" w:rsidRPr="00000000" w14:paraId="00000010">
      <w:pPr>
        <w:contextualSpacing w:val="0"/>
        <w:rPr>
          <w:sz w:val="24"/>
          <w:szCs w:val="24"/>
        </w:rPr>
      </w:pPr>
      <w:r w:rsidDel="00000000" w:rsidR="00000000" w:rsidRPr="00000000">
        <w:rPr>
          <w:sz w:val="24"/>
          <w:szCs w:val="24"/>
          <w:rtl w:val="0"/>
        </w:rPr>
        <w:t xml:space="preserve">A provider wishing to request access should contact:</w:t>
      </w:r>
    </w:p>
    <w:p w:rsidR="00000000" w:rsidDel="00000000" w:rsidP="00000000" w:rsidRDefault="00000000" w:rsidRPr="00000000" w14:paraId="00000011">
      <w:pPr>
        <w:spacing w:line="240" w:lineRule="auto"/>
        <w:ind w:left="720" w:firstLine="0"/>
        <w:contextualSpacing w:val="0"/>
        <w:rPr>
          <w:sz w:val="24"/>
          <w:szCs w:val="24"/>
        </w:rPr>
      </w:pPr>
      <w:r w:rsidDel="00000000" w:rsidR="00000000" w:rsidRPr="00000000">
        <w:rPr>
          <w:sz w:val="24"/>
          <w:szCs w:val="24"/>
          <w:rtl w:val="0"/>
        </w:rPr>
        <w:t xml:space="preserve">John Cadogan, Vice Principal</w:t>
      </w:r>
    </w:p>
    <w:p w:rsidR="00000000" w:rsidDel="00000000" w:rsidP="00000000" w:rsidRDefault="00000000" w:rsidRPr="00000000" w14:paraId="00000012">
      <w:pPr>
        <w:spacing w:line="240" w:lineRule="auto"/>
        <w:ind w:left="720" w:firstLine="0"/>
        <w:contextualSpacing w:val="0"/>
        <w:rPr>
          <w:sz w:val="24"/>
          <w:szCs w:val="24"/>
        </w:rPr>
      </w:pPr>
      <w:r w:rsidDel="00000000" w:rsidR="00000000" w:rsidRPr="00000000">
        <w:rPr>
          <w:i w:val="0"/>
          <w:smallCaps w:val="0"/>
          <w:strike w:val="0"/>
          <w:color w:val="000000"/>
          <w:sz w:val="24"/>
          <w:szCs w:val="24"/>
          <w:u w:val="none"/>
          <w:shd w:fill="auto" w:val="clear"/>
          <w:vertAlign w:val="baseline"/>
          <w:rtl w:val="0"/>
        </w:rPr>
        <w:t xml:space="preserve">Telephone:</w:t>
      </w:r>
      <w:r w:rsidDel="00000000" w:rsidR="00000000" w:rsidRPr="00000000">
        <w:rPr>
          <w:sz w:val="24"/>
          <w:szCs w:val="24"/>
          <w:rtl w:val="0"/>
        </w:rPr>
        <w:t xml:space="preserve"> 02088313001</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 </w:t>
      </w:r>
      <w:hyperlink r:id="rId6">
        <w:r w:rsidDel="00000000" w:rsidR="00000000" w:rsidRPr="00000000">
          <w:rPr>
            <w:i w:val="1"/>
            <w:color w:val="1155cc"/>
            <w:sz w:val="24"/>
            <w:szCs w:val="24"/>
            <w:u w:val="single"/>
            <w:rtl w:val="0"/>
          </w:rPr>
          <w:t xml:space="preserve">j.cadogan@logicstudioschool.org</w:t>
        </w:r>
      </w:hyperlink>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4"/>
        <w:contextualSpacing w:val="0"/>
        <w:rPr>
          <w:sz w:val="24"/>
          <w:szCs w:val="24"/>
        </w:rPr>
      </w:pPr>
      <w:r w:rsidDel="00000000" w:rsidR="00000000" w:rsidRPr="00000000">
        <w:rPr>
          <w:rtl w:val="0"/>
        </w:rPr>
      </w:r>
    </w:p>
    <w:p w:rsidR="00000000" w:rsidDel="00000000" w:rsidP="00000000" w:rsidRDefault="00000000" w:rsidRPr="00000000" w14:paraId="00000016">
      <w:pPr>
        <w:pStyle w:val="Heading4"/>
        <w:contextualSpacing w:val="0"/>
        <w:rPr>
          <w:b w:val="1"/>
          <w:i w:val="0"/>
          <w:sz w:val="24"/>
          <w:szCs w:val="24"/>
        </w:rPr>
      </w:pPr>
      <w:r w:rsidDel="00000000" w:rsidR="00000000" w:rsidRPr="00000000">
        <w:rPr>
          <w:rtl w:val="0"/>
        </w:rPr>
      </w:r>
    </w:p>
    <w:p w:rsidR="00000000" w:rsidDel="00000000" w:rsidP="00000000" w:rsidRDefault="00000000" w:rsidRPr="00000000" w14:paraId="00000017">
      <w:pPr>
        <w:pStyle w:val="Heading4"/>
        <w:contextualSpacing w:val="0"/>
        <w:rPr>
          <w:b w:val="1"/>
          <w:i w:val="0"/>
          <w:sz w:val="24"/>
          <w:szCs w:val="24"/>
        </w:rPr>
      </w:pPr>
      <w:r w:rsidDel="00000000" w:rsidR="00000000" w:rsidRPr="00000000">
        <w:rPr>
          <w:rtl w:val="0"/>
        </w:rPr>
      </w:r>
    </w:p>
    <w:p w:rsidR="00000000" w:rsidDel="00000000" w:rsidP="00000000" w:rsidRDefault="00000000" w:rsidRPr="00000000" w14:paraId="00000018">
      <w:pPr>
        <w:pStyle w:val="Heading4"/>
        <w:contextualSpacing w:val="0"/>
        <w:rPr>
          <w:b w:val="1"/>
          <w:i w:val="0"/>
          <w:sz w:val="24"/>
          <w:szCs w:val="24"/>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pStyle w:val="Heading4"/>
        <w:contextualSpacing w:val="0"/>
        <w:rPr>
          <w:b w:val="1"/>
          <w:i w:val="0"/>
          <w:sz w:val="24"/>
          <w:szCs w:val="24"/>
        </w:rPr>
      </w:pPr>
      <w:r w:rsidDel="00000000" w:rsidR="00000000" w:rsidRPr="00000000">
        <w:rPr>
          <w:rtl w:val="0"/>
        </w:rPr>
      </w:r>
    </w:p>
    <w:p w:rsidR="00000000" w:rsidDel="00000000" w:rsidP="00000000" w:rsidRDefault="00000000" w:rsidRPr="00000000" w14:paraId="0000001B">
      <w:pPr>
        <w:pStyle w:val="Heading4"/>
        <w:contextualSpacing w:val="0"/>
        <w:rPr>
          <w:b w:val="1"/>
          <w:i w:val="0"/>
          <w:sz w:val="24"/>
          <w:szCs w:val="24"/>
        </w:rPr>
      </w:pPr>
      <w:r w:rsidDel="00000000" w:rsidR="00000000" w:rsidRPr="00000000">
        <w:rPr>
          <w:rtl w:val="0"/>
        </w:rPr>
      </w:r>
    </w:p>
    <w:p w:rsidR="00000000" w:rsidDel="00000000" w:rsidP="00000000" w:rsidRDefault="00000000" w:rsidRPr="00000000" w14:paraId="0000001C">
      <w:pPr>
        <w:pStyle w:val="Heading4"/>
        <w:contextualSpacing w:val="0"/>
        <w:rPr>
          <w:b w:val="1"/>
          <w:i w:val="0"/>
          <w:sz w:val="24"/>
          <w:szCs w:val="24"/>
        </w:rPr>
      </w:pPr>
      <w:r w:rsidDel="00000000" w:rsidR="00000000" w:rsidRPr="00000000">
        <w:rPr>
          <w:b w:val="1"/>
          <w:i w:val="0"/>
          <w:sz w:val="24"/>
          <w:szCs w:val="24"/>
          <w:rtl w:val="0"/>
        </w:rPr>
        <w:t xml:space="preserve">Opportunities for access</w:t>
      </w:r>
    </w:p>
    <w:p w:rsidR="00000000" w:rsidDel="00000000" w:rsidP="00000000" w:rsidRDefault="00000000" w:rsidRPr="00000000" w14:paraId="0000001D">
      <w:pPr>
        <w:contextualSpacing w:val="0"/>
        <w:rPr>
          <w:sz w:val="24"/>
          <w:szCs w:val="24"/>
        </w:rPr>
      </w:pPr>
      <w:r w:rsidDel="00000000" w:rsidR="00000000" w:rsidRPr="00000000">
        <w:rPr>
          <w:rtl w:val="0"/>
        </w:rPr>
      </w:r>
    </w:p>
    <w:p w:rsidR="00000000" w:rsidDel="00000000" w:rsidP="00000000" w:rsidRDefault="00000000" w:rsidRPr="00000000" w14:paraId="0000001E">
      <w:pPr>
        <w:contextualSpacing w:val="0"/>
        <w:rPr>
          <w:sz w:val="24"/>
          <w:szCs w:val="24"/>
        </w:rPr>
      </w:pPr>
      <w:r w:rsidDel="00000000" w:rsidR="00000000" w:rsidRPr="00000000">
        <w:rPr>
          <w:sz w:val="24"/>
          <w:szCs w:val="24"/>
          <w:rtl w:val="0"/>
        </w:rPr>
        <w:t xml:space="preserve">A number of events, integrated into the school careers programme, will offer providers an opportunity to come into school to speak to pupils and/or their parents. This might include assemblies, careers events, PBL transition days and employer engagement sessions. </w:t>
      </w:r>
    </w:p>
    <w:p w:rsidR="00000000" w:rsidDel="00000000" w:rsidP="00000000" w:rsidRDefault="00000000" w:rsidRPr="00000000" w14:paraId="0000001F">
      <w:pPr>
        <w:contextualSpacing w:val="0"/>
        <w:rPr>
          <w:sz w:val="24"/>
          <w:szCs w:val="24"/>
        </w:rPr>
      </w:pPr>
      <w:r w:rsidDel="00000000" w:rsidR="00000000" w:rsidRPr="00000000">
        <w:rPr>
          <w:sz w:val="24"/>
          <w:szCs w:val="24"/>
          <w:rtl w:val="0"/>
        </w:rPr>
        <w:t xml:space="preserve">Please speak to our named Careers Leader, John Cadogan to identify the most suitable opportunity for you.</w:t>
      </w:r>
    </w:p>
    <w:p w:rsidR="00000000" w:rsidDel="00000000" w:rsidP="00000000" w:rsidRDefault="00000000" w:rsidRPr="00000000" w14:paraId="00000020">
      <w:pPr>
        <w:contextualSpacing w:val="0"/>
        <w:rPr>
          <w:sz w:val="24"/>
          <w:szCs w:val="24"/>
        </w:rPr>
      </w:pPr>
      <w:r w:rsidDel="00000000" w:rsidR="00000000" w:rsidRPr="00000000">
        <w:rPr>
          <w:sz w:val="24"/>
          <w:szCs w:val="24"/>
          <w:rtl w:val="0"/>
        </w:rPr>
        <w:t xml:space="preserve">The school policy on safeguarding </w:t>
      </w:r>
      <w:r w:rsidDel="00000000" w:rsidR="00000000" w:rsidRPr="00000000">
        <w:rPr>
          <w:sz w:val="24"/>
          <w:szCs w:val="24"/>
          <w:rtl w:val="0"/>
        </w:rPr>
        <w:t xml:space="preserve">sets out the school’s approach to allowing providers into school as visitors to talk to our students - </w:t>
      </w:r>
      <w:hyperlink r:id="rId7">
        <w:r w:rsidDel="00000000" w:rsidR="00000000" w:rsidRPr="00000000">
          <w:rPr>
            <w:i w:val="1"/>
            <w:color w:val="1155cc"/>
            <w:sz w:val="24"/>
            <w:szCs w:val="24"/>
            <w:u w:val="single"/>
            <w:rtl w:val="0"/>
          </w:rPr>
          <w:t xml:space="preserve">https://www.logicstudioschool.org/about-logic/policies/</w:t>
        </w:r>
      </w:hyperlink>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sz w:val="24"/>
          <w:szCs w:val="24"/>
          <w:rtl w:val="0"/>
        </w:rPr>
        <w:t xml:space="preserve">All visitors will need to complete the TPET visitors form and return prior to permission bring given to talk to students - </w:t>
      </w:r>
      <w:hyperlink r:id="rId8">
        <w:r w:rsidDel="00000000" w:rsidR="00000000" w:rsidRPr="00000000">
          <w:rPr>
            <w:color w:val="1155cc"/>
            <w:sz w:val="24"/>
            <w:szCs w:val="24"/>
            <w:u w:val="single"/>
            <w:rtl w:val="0"/>
          </w:rPr>
          <w:t xml:space="preserve">https://www.logicstudioschool.org/wp-content/uploads/2017/03/TPET-Visiting-Speaker-Policy-Sept-2017.pdf</w:t>
        </w:r>
      </w:hyperlink>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22">
      <w:pPr>
        <w:pStyle w:val="Heading3"/>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pStyle w:val="Heading3"/>
        <w:contextualSpacing w:val="0"/>
        <w:rPr>
          <w:b w:val="1"/>
        </w:rPr>
      </w:pPr>
      <w:r w:rsidDel="00000000" w:rsidR="00000000" w:rsidRPr="00000000">
        <w:rPr>
          <w:b w:val="1"/>
          <w:rtl w:val="0"/>
        </w:rPr>
        <w:t xml:space="preserve">Premises and facilities</w:t>
      </w:r>
    </w:p>
    <w:p w:rsidR="00000000" w:rsidDel="00000000" w:rsidP="00000000" w:rsidRDefault="00000000" w:rsidRPr="00000000" w14:paraId="00000025">
      <w:pPr>
        <w:contextualSpacing w:val="0"/>
        <w:rPr>
          <w:sz w:val="24"/>
          <w:szCs w:val="24"/>
        </w:rPr>
      </w:pPr>
      <w:r w:rsidDel="00000000" w:rsidR="00000000" w:rsidRPr="00000000">
        <w:rPr>
          <w:rtl w:val="0"/>
        </w:rPr>
      </w:r>
    </w:p>
    <w:p w:rsidR="00000000" w:rsidDel="00000000" w:rsidP="00000000" w:rsidRDefault="00000000" w:rsidRPr="00000000" w14:paraId="00000026">
      <w:pPr>
        <w:contextualSpacing w:val="0"/>
        <w:rPr>
          <w:sz w:val="24"/>
          <w:szCs w:val="24"/>
        </w:rPr>
      </w:pPr>
      <w:r w:rsidDel="00000000" w:rsidR="00000000" w:rsidRPr="00000000">
        <w:rPr>
          <w:sz w:val="24"/>
          <w:szCs w:val="24"/>
          <w:rtl w:val="0"/>
        </w:rPr>
        <w:t xml:space="preserve">The school will make the main hall, classrooms or private meeting rooms available for discussions between the provider and students, as appropriate to the activity. The school will also make available AV and other specialist equipment to support provider presentations. This will all be discussed and agreed in advance of the visit with the Careers Leader or a member of their team.</w:t>
      </w:r>
    </w:p>
    <w:p w:rsidR="00000000" w:rsidDel="00000000" w:rsidP="00000000" w:rsidRDefault="00000000" w:rsidRPr="00000000" w14:paraId="00000027">
      <w:pPr>
        <w:contextualSpacing w:val="0"/>
        <w:rPr>
          <w:sz w:val="24"/>
          <w:szCs w:val="24"/>
        </w:rPr>
      </w:pPr>
      <w:r w:rsidDel="00000000" w:rsidR="00000000" w:rsidRPr="00000000">
        <w:rPr>
          <w:sz w:val="24"/>
          <w:szCs w:val="24"/>
          <w:rtl w:val="0"/>
        </w:rPr>
        <w:t xml:space="preserve">Providers are welcome to leave a copy of their prospectus or other relevant course literature with reception, which will be added to the Careers section of the college library or 6th form centre (as appropriate). These areas are available to all students at lunch and break times.</w:t>
      </w:r>
    </w:p>
    <w:p w:rsidR="00000000" w:rsidDel="00000000" w:rsidP="00000000" w:rsidRDefault="00000000" w:rsidRPr="00000000" w14:paraId="00000028">
      <w:pPr>
        <w:pStyle w:val="Heading3"/>
        <w:contextualSpacing w:val="0"/>
        <w:rPr/>
      </w:pPr>
      <w:r w:rsidDel="00000000" w:rsidR="00000000" w:rsidRPr="00000000">
        <w:rPr>
          <w:rtl w:val="0"/>
        </w:rPr>
      </w:r>
    </w:p>
    <w:p w:rsidR="00000000" w:rsidDel="00000000" w:rsidP="00000000" w:rsidRDefault="00000000" w:rsidRPr="00000000" w14:paraId="00000029">
      <w:pPr>
        <w:pStyle w:val="Heading3"/>
        <w:contextualSpacing w:val="0"/>
        <w:rPr/>
      </w:pPr>
      <w:r w:rsidDel="00000000" w:rsidR="00000000" w:rsidRPr="00000000">
        <w:rPr>
          <w:rtl w:val="0"/>
        </w:rPr>
        <w:t xml:space="preserve">Approval and review</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sz w:val="24"/>
          <w:szCs w:val="24"/>
        </w:rPr>
      </w:pPr>
      <w:r w:rsidDel="00000000" w:rsidR="00000000" w:rsidRPr="00000000">
        <w:rPr>
          <w:sz w:val="24"/>
          <w:szCs w:val="24"/>
          <w:rtl w:val="0"/>
        </w:rPr>
        <w:t xml:space="preserve">Approved </w:t>
      </w:r>
      <w:r w:rsidDel="00000000" w:rsidR="00000000" w:rsidRPr="00000000">
        <w:rPr>
          <w:i w:val="1"/>
          <w:sz w:val="24"/>
          <w:szCs w:val="24"/>
          <w:rtl w:val="0"/>
        </w:rPr>
        <w:t xml:space="preserve">[date] </w:t>
      </w:r>
      <w:r w:rsidDel="00000000" w:rsidR="00000000" w:rsidRPr="00000000">
        <w:rPr>
          <w:sz w:val="24"/>
          <w:szCs w:val="24"/>
          <w:rtl w:val="0"/>
        </w:rPr>
        <w:t xml:space="preserve">by Governors at Curriculum and Standards Committee</w:t>
      </w:r>
    </w:p>
    <w:p w:rsidR="00000000" w:rsidDel="00000000" w:rsidP="00000000" w:rsidRDefault="00000000" w:rsidRPr="00000000" w14:paraId="0000002C">
      <w:pPr>
        <w:contextualSpacing w:val="0"/>
        <w:rPr>
          <w:sz w:val="24"/>
          <w:szCs w:val="24"/>
        </w:rPr>
      </w:pPr>
      <w:r w:rsidDel="00000000" w:rsidR="00000000" w:rsidRPr="00000000">
        <w:rPr>
          <w:sz w:val="24"/>
          <w:szCs w:val="24"/>
          <w:rtl w:val="0"/>
        </w:rPr>
        <w:t xml:space="preserve">Next review: </w:t>
      </w:r>
      <w:r w:rsidDel="00000000" w:rsidR="00000000" w:rsidRPr="00000000">
        <w:rPr>
          <w:i w:val="1"/>
          <w:sz w:val="24"/>
          <w:szCs w:val="24"/>
          <w:rtl w:val="0"/>
        </w:rPr>
        <w:t xml:space="preserve">[date]</w:t>
      </w:r>
      <w:r w:rsidDel="00000000" w:rsidR="00000000" w:rsidRPr="00000000">
        <w:rPr>
          <w:rtl w:val="0"/>
        </w:rPr>
      </w:r>
    </w:p>
    <w:p w:rsidR="00000000" w:rsidDel="00000000" w:rsidP="00000000" w:rsidRDefault="00000000" w:rsidRPr="00000000" w14:paraId="0000002D">
      <w:pPr>
        <w:contextualSpacing w:val="0"/>
        <w:rPr>
          <w:rFonts w:ascii="Arial" w:cs="Arial" w:eastAsia="Arial" w:hAnsi="Arial"/>
          <w:sz w:val="23"/>
          <w:szCs w:val="23"/>
        </w:rPr>
      </w:pPr>
      <w:r w:rsidDel="00000000" w:rsidR="00000000" w:rsidRPr="00000000">
        <w:rPr>
          <w:sz w:val="24"/>
          <w:szCs w:val="24"/>
          <w:rtl w:val="0"/>
        </w:rPr>
        <w:t xml:space="preserve">Signed: </w:t>
      </w:r>
      <w:r w:rsidDel="00000000" w:rsidR="00000000" w:rsidRPr="00000000">
        <w:rPr>
          <w:i w:val="1"/>
          <w:sz w:val="24"/>
          <w:szCs w:val="24"/>
          <w:rtl w:val="0"/>
        </w:rPr>
        <w:t xml:space="preserve">[name]</w:t>
      </w:r>
      <w:r w:rsidDel="00000000" w:rsidR="00000000" w:rsidRPr="00000000">
        <w:rPr>
          <w:sz w:val="24"/>
          <w:szCs w:val="24"/>
          <w:rtl w:val="0"/>
        </w:rPr>
        <w:t xml:space="preserve"> Chair of Governors</w:t>
        <w:tab/>
        <w:tab/>
        <w:tab/>
        <w:tab/>
      </w:r>
      <w:r w:rsidDel="00000000" w:rsidR="00000000" w:rsidRPr="00000000">
        <w:rPr>
          <w:i w:val="1"/>
          <w:sz w:val="24"/>
          <w:szCs w:val="24"/>
          <w:rtl w:val="0"/>
        </w:rPr>
        <w:t xml:space="preserve">[name]</w:t>
      </w:r>
      <w:r w:rsidDel="00000000" w:rsidR="00000000" w:rsidRPr="00000000">
        <w:rPr>
          <w:sz w:val="24"/>
          <w:szCs w:val="24"/>
          <w:rtl w:val="0"/>
        </w:rPr>
        <w:t xml:space="preserve"> Head teacher</w:t>
      </w: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sectPr>
      <w:headerReference r:id="rId9"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after="0" w:line="276" w:lineRule="auto"/>
      <w:contextualSpacing w:val="0"/>
      <w:jc w:val="right"/>
      <w:rPr/>
    </w:pPr>
    <w:r w:rsidDel="00000000" w:rsidR="00000000" w:rsidRPr="00000000">
      <w:rPr>
        <w:rFonts w:ascii="Arial" w:cs="Arial" w:eastAsia="Arial" w:hAnsi="Arial"/>
        <w:b w:val="1"/>
        <w:sz w:val="44"/>
        <w:szCs w:val="44"/>
        <w:u w:val="single"/>
      </w:rPr>
      <w:drawing>
        <wp:inline distB="114300" distT="114300" distL="114300" distR="114300">
          <wp:extent cx="2617481" cy="68103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17481" cy="681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240" w:line="240" w:lineRule="auto"/>
    </w:pPr>
    <w:rPr>
      <w:rFonts w:ascii="Arial" w:cs="Arial" w:eastAsia="Arial" w:hAnsi="Arial"/>
      <w:b w:val="1"/>
      <w:color w:val="104f75"/>
      <w:sz w:val="96"/>
      <w:szCs w:val="9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j.cadogan@logicstudioschool.org" TargetMode="External"/><Relationship Id="rId7" Type="http://schemas.openxmlformats.org/officeDocument/2006/relationships/hyperlink" Target="https://www.logicstudioschool.org/about-logic/policies/" TargetMode="External"/><Relationship Id="rId8" Type="http://schemas.openxmlformats.org/officeDocument/2006/relationships/hyperlink" Target="https://www.logicstudioschool.org/wp-content/uploads/2017/03/TPET-Visiting-Speaker-Policy-Sept-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